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B5941">
      <w:pPr>
        <w:spacing w:line="570" w:lineRule="exact"/>
        <w:jc w:val="center"/>
        <w:rPr>
          <w:rFonts w:hint="eastAsia" w:ascii="方正小标宋简体" w:hAnsi="?????" w:eastAsia="方正小标宋简体" w:cs="?????"/>
          <w:sz w:val="44"/>
          <w:szCs w:val="44"/>
        </w:rPr>
      </w:pPr>
    </w:p>
    <w:p w14:paraId="1AEDF135">
      <w:pPr>
        <w:spacing w:line="570" w:lineRule="exact"/>
        <w:jc w:val="center"/>
        <w:rPr>
          <w:rFonts w:ascii="方正小标宋简体" w:hAnsi="?????" w:eastAsia="方正小标宋简体" w:cs="?????"/>
          <w:sz w:val="44"/>
          <w:szCs w:val="44"/>
        </w:rPr>
      </w:pPr>
      <w:r>
        <w:rPr>
          <w:rFonts w:hint="eastAsia" w:ascii="方正小标宋简体" w:hAnsi="?????" w:eastAsia="方正小标宋简体" w:cs="?????"/>
          <w:sz w:val="44"/>
          <w:szCs w:val="44"/>
        </w:rPr>
        <w:t>山东省工程师协会</w:t>
      </w:r>
    </w:p>
    <w:p w14:paraId="354B3853">
      <w:pPr>
        <w:spacing w:line="570" w:lineRule="exact"/>
        <w:jc w:val="center"/>
        <w:rPr>
          <w:rFonts w:ascii="方正小标宋简体" w:hAnsi="?????" w:eastAsia="方正小标宋简体" w:cs="?????"/>
          <w:sz w:val="44"/>
          <w:szCs w:val="44"/>
        </w:rPr>
      </w:pPr>
      <w:r>
        <w:rPr>
          <w:rFonts w:hint="eastAsia" w:ascii="方正小标宋简体" w:hAnsi="?????" w:eastAsia="方正小标宋简体" w:cs="?????"/>
          <w:sz w:val="44"/>
          <w:szCs w:val="44"/>
        </w:rPr>
        <w:t>工程科学技术奖评选办法（试行）</w:t>
      </w:r>
    </w:p>
    <w:p w14:paraId="61139904">
      <w:pPr>
        <w:spacing w:after="0" w:line="560" w:lineRule="atLeast"/>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（202</w:t>
      </w:r>
      <w:r>
        <w:rPr>
          <w:rFonts w:hint="eastAsia" w:ascii="楷体_GB2312" w:hAnsi="仿宋_GB2312" w:eastAsia="楷体_GB2312" w:cs="仿宋_GB2312"/>
          <w:sz w:val="32"/>
          <w:szCs w:val="32"/>
          <w:lang w:val="en-US" w:eastAsia="zh-CN"/>
        </w:rPr>
        <w:t>5</w:t>
      </w:r>
      <w:r>
        <w:rPr>
          <w:rFonts w:hint="eastAsia" w:ascii="楷体_GB2312" w:hAnsi="仿宋_GB2312" w:eastAsia="楷体_GB2312" w:cs="仿宋_GB2312"/>
          <w:sz w:val="32"/>
          <w:szCs w:val="32"/>
        </w:rPr>
        <w:t>年</w:t>
      </w:r>
      <w:r>
        <w:rPr>
          <w:rFonts w:hint="eastAsia" w:ascii="楷体_GB2312" w:hAnsi="仿宋_GB2312" w:eastAsia="楷体_GB2312" w:cs="仿宋_GB2312"/>
          <w:sz w:val="32"/>
          <w:szCs w:val="32"/>
          <w:lang w:val="en-US" w:eastAsia="zh-CN"/>
        </w:rPr>
        <w:t>4</w:t>
      </w:r>
      <w:r>
        <w:rPr>
          <w:rFonts w:hint="eastAsia" w:ascii="楷体_GB2312" w:hAnsi="仿宋_GB2312" w:eastAsia="楷体_GB2312" w:cs="仿宋_GB2312"/>
          <w:sz w:val="32"/>
          <w:szCs w:val="32"/>
        </w:rPr>
        <w:t>月</w:t>
      </w:r>
      <w:r>
        <w:rPr>
          <w:rFonts w:hint="eastAsia" w:ascii="楷体_GB2312" w:hAnsi="仿宋_GB2312" w:eastAsia="楷体_GB2312" w:cs="仿宋_GB2312"/>
          <w:sz w:val="32"/>
          <w:szCs w:val="32"/>
          <w:lang w:val="en-US" w:eastAsia="zh-CN"/>
        </w:rPr>
        <w:t>13</w:t>
      </w:r>
      <w:r>
        <w:rPr>
          <w:rFonts w:hint="eastAsia" w:ascii="楷体_GB2312" w:hAnsi="仿宋_GB2312" w:eastAsia="楷体_GB2312" w:cs="仿宋_GB2312"/>
          <w:sz w:val="32"/>
          <w:szCs w:val="32"/>
        </w:rPr>
        <w:t>日二届</w:t>
      </w:r>
      <w:r>
        <w:rPr>
          <w:rFonts w:hint="eastAsia" w:ascii="楷体_GB2312" w:hAnsi="仿宋_GB2312" w:eastAsia="楷体_GB2312" w:cs="仿宋_GB2312"/>
          <w:sz w:val="32"/>
          <w:szCs w:val="32"/>
          <w:lang w:val="en-US" w:eastAsia="zh-CN"/>
        </w:rPr>
        <w:t>六</w:t>
      </w:r>
      <w:r>
        <w:rPr>
          <w:rFonts w:hint="eastAsia" w:ascii="楷体_GB2312" w:hAnsi="仿宋_GB2312" w:eastAsia="楷体_GB2312" w:cs="仿宋_GB2312"/>
          <w:sz w:val="32"/>
          <w:szCs w:val="32"/>
        </w:rPr>
        <w:t>次理事会议通过）</w:t>
      </w:r>
    </w:p>
    <w:p w14:paraId="77F5E06D">
      <w:pPr>
        <w:spacing w:after="0" w:line="560" w:lineRule="atLeast"/>
        <w:jc w:val="center"/>
        <w:rPr>
          <w:rFonts w:hint="eastAsia" w:ascii="楷体_GB2312" w:hAnsi="仿宋_GB2312" w:eastAsia="楷体_GB2312" w:cs="仿宋_GB2312"/>
          <w:sz w:val="32"/>
          <w:szCs w:val="32"/>
        </w:rPr>
      </w:pPr>
    </w:p>
    <w:p w14:paraId="5B4F0E13">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为促进山东省工程科学技术事业发展，服务全省高质量发展和新时代社会主义现代化强省建设，进一步激发广大科技工作者科技创新热情和创造力，山东省工程师协会（以下简称“协会”）设立</w:t>
      </w:r>
      <w:r>
        <w:rPr>
          <w:rFonts w:hint="eastAsia" w:ascii="仿宋_GB2312" w:eastAsia="仿宋_GB2312"/>
          <w:color w:val="000000" w:themeColor="text1"/>
          <w:sz w:val="32"/>
          <w:szCs w:val="32"/>
          <w14:textFill>
            <w14:solidFill>
              <w14:schemeClr w14:val="tx1"/>
            </w14:solidFill>
          </w14:textFill>
        </w:rPr>
        <w:t>“山东省工程师协会</w:t>
      </w:r>
      <w:r>
        <w:rPr>
          <w:rFonts w:hint="eastAsia" w:ascii="仿宋_GB2312" w:eastAsia="仿宋_GB2312"/>
          <w:sz w:val="32"/>
          <w:szCs w:val="32"/>
        </w:rPr>
        <w:t>工程科学技术奖</w:t>
      </w:r>
      <w:r>
        <w:rPr>
          <w:rFonts w:hint="eastAsia" w:ascii="仿宋_GB2312" w:eastAsia="仿宋_GB2312"/>
          <w:color w:val="000000" w:themeColor="text1"/>
          <w:sz w:val="32"/>
          <w:szCs w:val="32"/>
          <w14:textFill>
            <w14:solidFill>
              <w14:schemeClr w14:val="tx1"/>
            </w14:solidFill>
          </w14:textFill>
        </w:rPr>
        <w:t>”（以下简称“</w:t>
      </w:r>
      <w:r>
        <w:rPr>
          <w:rFonts w:hint="eastAsia" w:ascii="仿宋_GB2312" w:eastAsia="仿宋_GB2312"/>
          <w:sz w:val="32"/>
          <w:szCs w:val="32"/>
        </w:rPr>
        <w:t>工程科技奖</w:t>
      </w:r>
      <w:r>
        <w:rPr>
          <w:rFonts w:hint="eastAsia" w:ascii="仿宋_GB2312" w:eastAsia="仿宋_GB2312"/>
          <w:color w:val="000000" w:themeColor="text1"/>
          <w:sz w:val="32"/>
          <w:szCs w:val="32"/>
          <w14:textFill>
            <w14:solidFill>
              <w14:schemeClr w14:val="tx1"/>
            </w14:solidFill>
          </w14:textFill>
        </w:rPr>
        <w:t>”）。</w:t>
      </w:r>
    </w:p>
    <w:p w14:paraId="02DBDE1A">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第一章  总  则</w:t>
      </w:r>
    </w:p>
    <w:p w14:paraId="47E42DD6">
      <w:pPr>
        <w:spacing w:line="570" w:lineRule="exact"/>
        <w:ind w:firstLine="640" w:firstLineChars="200"/>
        <w:rPr>
          <w:rFonts w:ascii="仿宋_GB2312" w:hAnsi="Courier New" w:eastAsia="仿宋_GB2312" w:cs="Courier New"/>
          <w:sz w:val="32"/>
          <w:szCs w:val="32"/>
        </w:rPr>
      </w:pPr>
      <w:r>
        <w:rPr>
          <w:rFonts w:hint="eastAsia" w:ascii="黑体" w:hAnsi="黑体" w:eastAsia="黑体" w:cs="黑体"/>
          <w:kern w:val="0"/>
          <w:sz w:val="32"/>
          <w:szCs w:val="32"/>
        </w:rPr>
        <w:t>第一条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根据《中华人民共和国科学技术进步法》《国家科学技术奖励条例》及其实施细则和科学技术部《社会力量设立科学技术奖管理办法》以及《关于进一步</w:t>
      </w:r>
      <w:r>
        <w:rPr>
          <w:rFonts w:hint="eastAsia" w:ascii="仿宋_GB2312" w:eastAsia="仿宋_GB2312"/>
          <w:color w:val="000000" w:themeColor="text1"/>
          <w:sz w:val="32"/>
          <w:szCs w:val="32"/>
          <w14:textFill>
            <w14:solidFill>
              <w14:schemeClr w14:val="tx1"/>
            </w14:solidFill>
          </w14:textFill>
        </w:rPr>
        <w:t>鼓励和规范山东省社会力量设立科学技术奖的指导意见》，</w:t>
      </w:r>
      <w:r>
        <w:rPr>
          <w:rFonts w:hint="eastAsia" w:ascii="仿宋_GB2312" w:hAnsi="Courier New" w:eastAsia="仿宋_GB2312" w:cs="Courier New"/>
          <w:color w:val="000000" w:themeColor="text1"/>
          <w:sz w:val="32"/>
          <w:szCs w:val="32"/>
          <w14:textFill>
            <w14:solidFill>
              <w14:schemeClr w14:val="tx1"/>
            </w14:solidFill>
          </w14:textFill>
        </w:rPr>
        <w:t>参照《光华工程科技奖章程》《光华工程科技奖管理细则》</w:t>
      </w:r>
      <w:r>
        <w:rPr>
          <w:rFonts w:hint="eastAsia" w:ascii="仿宋_GB2312" w:eastAsia="仿宋_GB2312"/>
          <w:color w:val="000000" w:themeColor="text1"/>
          <w:sz w:val="32"/>
          <w:szCs w:val="32"/>
          <w14:textFill>
            <w14:solidFill>
              <w14:schemeClr w14:val="tx1"/>
            </w14:solidFill>
          </w14:textFill>
        </w:rPr>
        <w:t>，制</w:t>
      </w:r>
      <w:r>
        <w:rPr>
          <w:rFonts w:hint="eastAsia" w:ascii="仿宋_GB2312" w:hAnsi="Courier New" w:eastAsia="仿宋_GB2312" w:cs="Courier New"/>
          <w:sz w:val="32"/>
          <w:szCs w:val="32"/>
        </w:rPr>
        <w:t>定《山东省工程师协会工程科学技术奖评选办法》（以下简称“本办法”）。</w:t>
      </w:r>
    </w:p>
    <w:p w14:paraId="17BF52E6">
      <w:pPr>
        <w:pStyle w:val="3"/>
        <w:spacing w:line="570" w:lineRule="exact"/>
        <w:ind w:firstLine="640" w:firstLineChars="200"/>
        <w:rPr>
          <w:sz w:val="28"/>
          <w:szCs w:val="28"/>
        </w:rPr>
      </w:pPr>
      <w:r>
        <w:rPr>
          <w:rFonts w:hint="eastAsia" w:ascii="黑体" w:hAnsi="黑体" w:eastAsia="黑体" w:cs="黑体"/>
          <w:kern w:val="0"/>
          <w:sz w:val="32"/>
          <w:szCs w:val="32"/>
        </w:rPr>
        <w:t>第二条</w:t>
      </w:r>
      <w:r>
        <w:rPr>
          <w:rFonts w:hint="eastAsia"/>
          <w:sz w:val="28"/>
          <w:szCs w:val="28"/>
        </w:rPr>
        <w:t xml:space="preserve">  </w:t>
      </w:r>
      <w:r>
        <w:rPr>
          <w:rFonts w:hint="eastAsia" w:ascii="仿宋_GB2312" w:eastAsia="仿宋_GB2312"/>
          <w:sz w:val="32"/>
          <w:szCs w:val="32"/>
        </w:rPr>
        <w:t>工程科技奖评选对象为在工程科技及工程管理领域取得的先进工程科技成果和成绩突出的工程科技专家。其宗旨是营造尊重劳动、尊重知识、尊重人才、尊重创造的浓厚氛围，弘扬工匠精神，鼓励研发创新，突出技能应用，激励广大科技工作者积极投身于现代化强省建设。</w:t>
      </w:r>
    </w:p>
    <w:p w14:paraId="21DBF81B">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第三条</w:t>
      </w:r>
      <w:r>
        <w:rPr>
          <w:rFonts w:hint="eastAsia"/>
          <w:sz w:val="28"/>
          <w:szCs w:val="28"/>
        </w:rPr>
        <w:t xml:space="preserve">  </w:t>
      </w:r>
      <w:r>
        <w:rPr>
          <w:rFonts w:hint="eastAsia" w:ascii="仿宋_GB2312" w:eastAsia="仿宋_GB2312"/>
          <w:sz w:val="32"/>
          <w:szCs w:val="32"/>
        </w:rPr>
        <w:t>工程科技奖评选坚持实事求是和公开、公平、公正原则，严格标准和程序，保证质量。</w:t>
      </w:r>
    </w:p>
    <w:p w14:paraId="0EC9E047">
      <w:pPr>
        <w:pStyle w:val="3"/>
        <w:spacing w:line="570" w:lineRule="exact"/>
        <w:ind w:firstLine="640" w:firstLineChars="200"/>
        <w:rPr>
          <w:rFonts w:ascii="仿宋_GB2312" w:eastAsia="仿宋_GB2312"/>
          <w:color w:val="FF0000"/>
          <w:sz w:val="32"/>
          <w:szCs w:val="32"/>
        </w:rPr>
      </w:pPr>
      <w:r>
        <w:rPr>
          <w:rFonts w:hint="eastAsia" w:ascii="黑体" w:hAnsi="黑体" w:eastAsia="黑体" w:cs="黑体"/>
          <w:kern w:val="0"/>
          <w:sz w:val="32"/>
          <w:szCs w:val="32"/>
        </w:rPr>
        <w:t>第四条</w:t>
      </w:r>
      <w:r>
        <w:rPr>
          <w:rFonts w:hint="eastAsia" w:ascii="仿宋_GB2312" w:eastAsia="仿宋_GB2312"/>
          <w:sz w:val="32"/>
          <w:szCs w:val="32"/>
        </w:rPr>
        <w:t xml:space="preserve"> </w:t>
      </w:r>
      <w:r>
        <w:rPr>
          <w:rFonts w:hint="eastAsia" w:ascii="仿宋_GB2312" w:eastAsia="仿宋_GB2312"/>
          <w:color w:val="FF0000"/>
          <w:sz w:val="32"/>
          <w:szCs w:val="32"/>
        </w:rPr>
        <w:t xml:space="preserve"> </w:t>
      </w:r>
      <w:r>
        <w:rPr>
          <w:rFonts w:hint="eastAsia" w:ascii="仿宋_GB2312" w:eastAsia="仿宋_GB2312"/>
          <w:sz w:val="32"/>
          <w:szCs w:val="32"/>
        </w:rPr>
        <w:t>工程科技奖每年评奖一次。</w:t>
      </w:r>
    </w:p>
    <w:p w14:paraId="71ADCDAB">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第二章  组织机构</w:t>
      </w:r>
    </w:p>
    <w:p w14:paraId="33B81D12">
      <w:pPr>
        <w:pStyle w:val="3"/>
        <w:adjustRightInd w:val="0"/>
        <w:snapToGrid w:val="0"/>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第五条</w:t>
      </w:r>
      <w:r>
        <w:rPr>
          <w:rFonts w:hint="eastAsia" w:ascii="仿宋_GB2312" w:eastAsia="仿宋_GB2312"/>
          <w:sz w:val="32"/>
          <w:szCs w:val="32"/>
        </w:rPr>
        <w:t xml:space="preserve">  设立协会奖励工作委员会（以下简称“奖励委员会”），是协会奖励常设管理机构，主任委员由协会会长担任，副主任委员由副会长或秘书长担任，委员由副会长、常务理事以及相关领域工程技术专家组成。</w:t>
      </w:r>
    </w:p>
    <w:p w14:paraId="3940106F">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奖励委员会的主要职责：</w:t>
      </w:r>
    </w:p>
    <w:p w14:paraId="69C34472">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（一）研究奖励政策，</w:t>
      </w:r>
      <w:r>
        <w:rPr>
          <w:rFonts w:ascii="仿宋_GB2312" w:eastAsia="仿宋_GB2312"/>
          <w:sz w:val="32"/>
          <w:szCs w:val="32"/>
        </w:rPr>
        <w:t>提议</w:t>
      </w:r>
      <w:r>
        <w:rPr>
          <w:rFonts w:hint="eastAsia" w:ascii="仿宋_GB2312" w:eastAsia="仿宋_GB2312"/>
          <w:sz w:val="32"/>
          <w:szCs w:val="32"/>
        </w:rPr>
        <w:t>对本办法</w:t>
      </w:r>
      <w:r>
        <w:rPr>
          <w:rFonts w:ascii="仿宋_GB2312" w:eastAsia="仿宋_GB2312"/>
          <w:sz w:val="32"/>
          <w:szCs w:val="32"/>
        </w:rPr>
        <w:t>的修订。</w:t>
      </w:r>
    </w:p>
    <w:p w14:paraId="0325A641">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（二）指导评选工作，决定评选工作中的重大事项，裁定重大问题</w:t>
      </w:r>
      <w:r>
        <w:rPr>
          <w:rFonts w:ascii="仿宋_GB2312" w:eastAsia="仿宋_GB2312"/>
          <w:sz w:val="32"/>
          <w:szCs w:val="32"/>
        </w:rPr>
        <w:t>。</w:t>
      </w:r>
    </w:p>
    <w:p w14:paraId="5667C11C">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（三）审定授奖项目。</w:t>
      </w:r>
    </w:p>
    <w:p w14:paraId="65684389">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（四）其他需要研究决定的事项。</w:t>
      </w:r>
    </w:p>
    <w:p w14:paraId="6BF3D2FB">
      <w:pPr>
        <w:pStyle w:val="3"/>
        <w:adjustRightInd w:val="0"/>
        <w:snapToGrid w:val="0"/>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 xml:space="preserve">第六条 </w:t>
      </w:r>
      <w:r>
        <w:rPr>
          <w:rFonts w:hint="eastAsia" w:ascii="仿宋_GB2312" w:eastAsia="仿宋_GB2312"/>
          <w:sz w:val="32"/>
          <w:szCs w:val="32"/>
        </w:rPr>
        <w:t xml:space="preserve"> 设立评审专家委员会（以下简称“评审委员会”），评审专家由协会根据专业领域从专家库中抽取。</w:t>
      </w:r>
    </w:p>
    <w:p w14:paraId="03F1DCD3">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评审委员会的主要职责：</w:t>
      </w:r>
    </w:p>
    <w:p w14:paraId="70B14505">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 xml:space="preserve">（一）负责相应奖项的评审工作。 </w:t>
      </w:r>
    </w:p>
    <w:p w14:paraId="5BB1BDC3">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向奖励委员会提出</w:t>
      </w:r>
      <w:r>
        <w:rPr>
          <w:rFonts w:hint="eastAsia" w:ascii="仿宋_GB2312" w:eastAsia="仿宋_GB2312"/>
          <w:sz w:val="32"/>
          <w:szCs w:val="32"/>
        </w:rPr>
        <w:t>评审</w:t>
      </w:r>
      <w:r>
        <w:rPr>
          <w:rFonts w:ascii="仿宋_GB2312" w:eastAsia="仿宋_GB2312"/>
          <w:sz w:val="32"/>
          <w:szCs w:val="32"/>
        </w:rPr>
        <w:t>结果、奖励等级的建议。</w:t>
      </w:r>
    </w:p>
    <w:p w14:paraId="4CC9BFE0">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（三）</w:t>
      </w:r>
      <w:r>
        <w:rPr>
          <w:rFonts w:ascii="仿宋_GB2312" w:eastAsia="仿宋_GB2312"/>
          <w:sz w:val="32"/>
          <w:szCs w:val="32"/>
        </w:rPr>
        <w:t>对评审工作中出现的问题进行处理或提出建议。</w:t>
      </w:r>
    </w:p>
    <w:p w14:paraId="72D2CCA3">
      <w:pPr>
        <w:pStyle w:val="3"/>
        <w:adjustRightInd w:val="0"/>
        <w:snapToGrid w:val="0"/>
        <w:spacing w:line="570" w:lineRule="exact"/>
        <w:ind w:firstLine="640" w:firstLineChars="200"/>
        <w:rPr>
          <w:rFonts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对完善</w:t>
      </w:r>
      <w:r>
        <w:rPr>
          <w:rFonts w:hint="eastAsia" w:ascii="仿宋_GB2312" w:eastAsia="仿宋_GB2312"/>
          <w:sz w:val="32"/>
          <w:szCs w:val="32"/>
        </w:rPr>
        <w:t>评奖</w:t>
      </w:r>
      <w:r>
        <w:rPr>
          <w:rFonts w:ascii="仿宋_GB2312" w:eastAsia="仿宋_GB2312"/>
          <w:sz w:val="32"/>
          <w:szCs w:val="32"/>
        </w:rPr>
        <w:t>工作提出意见和建议。</w:t>
      </w:r>
    </w:p>
    <w:p w14:paraId="1C01885F">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第七条</w:t>
      </w:r>
      <w:r>
        <w:rPr>
          <w:rFonts w:hint="eastAsia" w:ascii="仿宋_GB2312" w:eastAsia="仿宋_GB2312"/>
          <w:sz w:val="32"/>
          <w:szCs w:val="32"/>
        </w:rPr>
        <w:t xml:space="preserve">  奖励委员会下设办公室，是日常办事机构（设在协会秘书处），负责评选的日常组织、材料审查、异议处理、结果公布等日常工作。</w:t>
      </w:r>
    </w:p>
    <w:p w14:paraId="01D9616F">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 xml:space="preserve">第八条 </w:t>
      </w:r>
      <w:r>
        <w:rPr>
          <w:rFonts w:hint="eastAsia" w:ascii="仿宋_GB2312" w:eastAsia="仿宋_GB2312"/>
          <w:sz w:val="32"/>
          <w:szCs w:val="32"/>
        </w:rPr>
        <w:t xml:space="preserve"> 协会监事会对评选过程和结果进行监督。</w:t>
      </w:r>
    </w:p>
    <w:p w14:paraId="0B7B864A">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第三章  奖项设置和标准</w:t>
      </w:r>
    </w:p>
    <w:p w14:paraId="1CDB89BF">
      <w:pPr>
        <w:spacing w:line="570" w:lineRule="exact"/>
        <w:ind w:firstLine="640" w:firstLineChars="200"/>
        <w:rPr>
          <w:rFonts w:ascii="仿宋_GB2312" w:hAnsi="Courier New" w:eastAsia="仿宋_GB2312" w:cs="Courier New"/>
          <w:sz w:val="32"/>
          <w:szCs w:val="32"/>
        </w:rPr>
      </w:pPr>
      <w:r>
        <w:rPr>
          <w:rFonts w:hint="eastAsia" w:ascii="黑体" w:hAnsi="黑体" w:eastAsia="黑体" w:cs="黑体"/>
          <w:sz w:val="32"/>
          <w:szCs w:val="32"/>
        </w:rPr>
        <w:t>第九条</w:t>
      </w:r>
      <w:r>
        <w:rPr>
          <w:rFonts w:hint="eastAsia"/>
          <w:b/>
          <w:sz w:val="28"/>
          <w:szCs w:val="28"/>
        </w:rPr>
        <w:t xml:space="preserve"> </w:t>
      </w:r>
      <w:r>
        <w:rPr>
          <w:rFonts w:hint="eastAsia" w:ascii="仿宋_GB2312" w:hAnsi="Courier New" w:eastAsia="仿宋_GB2312" w:cs="Courier New"/>
          <w:sz w:val="32"/>
          <w:szCs w:val="32"/>
        </w:rPr>
        <w:t xml:space="preserve"> 成果奖。设一、二、三等奖，原则上获奖项目不超过参评项目的50%。其中，一等奖一般不超过获奖项目的10%，二等奖一般不超过获奖项目的30%，三等奖一般不超过获奖项目的60%。对有特大贡献、产生巨大效益和影响的科技成果，可视情况授予特等奖。</w:t>
      </w:r>
    </w:p>
    <w:p w14:paraId="2D402C16">
      <w:pPr>
        <w:widowControl/>
        <w:ind w:firstLine="640" w:firstLineChars="200"/>
        <w:jc w:val="left"/>
      </w:pPr>
      <w:r>
        <w:rPr>
          <w:rFonts w:hint="eastAsia" w:ascii="仿宋_GB2312" w:eastAsia="仿宋_GB2312"/>
          <w:sz w:val="32"/>
          <w:szCs w:val="32"/>
        </w:rPr>
        <w:t>评选</w:t>
      </w:r>
      <w:r>
        <w:rPr>
          <w:rFonts w:ascii="仿宋_GB2312" w:hAnsi="Courier New" w:eastAsia="仿宋_GB2312" w:cs="Courier New"/>
          <w:sz w:val="32"/>
          <w:szCs w:val="32"/>
        </w:rPr>
        <w:t>标准：</w:t>
      </w:r>
      <w:r>
        <w:rPr>
          <w:rFonts w:ascii="CIDFont" w:hAnsi="CIDFont" w:eastAsia="CIDFont" w:cs="CIDFont"/>
          <w:kern w:val="0"/>
          <w:sz w:val="31"/>
          <w:szCs w:val="31"/>
          <w:lang w:bidi="ar"/>
        </w:rPr>
        <w:t xml:space="preserve"> </w:t>
      </w:r>
    </w:p>
    <w:p w14:paraId="11E80C11">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（一）</w:t>
      </w:r>
      <w:r>
        <w:rPr>
          <w:rFonts w:ascii="仿宋_GB2312" w:hAnsi="Courier New" w:eastAsia="仿宋_GB2312" w:cs="Courier New"/>
          <w:sz w:val="32"/>
          <w:szCs w:val="32"/>
        </w:rPr>
        <w:t>成果奖基础类指在工程科技领域科学研究中取得的重大发现、重要理论突破或重要方法创新，为国内外同行所公认，且研究成果具有明确的应用前景，对提高</w:t>
      </w:r>
      <w:r>
        <w:rPr>
          <w:rFonts w:hint="eastAsia" w:ascii="仿宋_GB2312" w:hAnsi="Courier New" w:eastAsia="仿宋_GB2312" w:cs="Courier New"/>
          <w:sz w:val="32"/>
          <w:szCs w:val="32"/>
        </w:rPr>
        <w:t>山东</w:t>
      </w:r>
      <w:r>
        <w:rPr>
          <w:rFonts w:ascii="仿宋_GB2312" w:hAnsi="Courier New" w:eastAsia="仿宋_GB2312" w:cs="Courier New"/>
          <w:sz w:val="32"/>
          <w:szCs w:val="32"/>
        </w:rPr>
        <w:t xml:space="preserve">科技创新能力有重要的作用。 </w:t>
      </w:r>
    </w:p>
    <w:p w14:paraId="0E23AFA0">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（二）</w:t>
      </w:r>
      <w:r>
        <w:rPr>
          <w:rFonts w:ascii="仿宋_GB2312" w:hAnsi="Courier New" w:eastAsia="仿宋_GB2312" w:cs="Courier New"/>
          <w:sz w:val="32"/>
          <w:szCs w:val="32"/>
        </w:rPr>
        <w:t>成果奖应用类指在技术发明、技术开发、社会公益、重大工程中，取得关键技术或系统集成上的重要创新，产生了较大的社会效益和经济效益，为</w:t>
      </w:r>
      <w:r>
        <w:rPr>
          <w:rFonts w:hint="eastAsia" w:ascii="仿宋_GB2312" w:hAnsi="Courier New" w:eastAsia="仿宋_GB2312" w:cs="Courier New"/>
          <w:sz w:val="32"/>
          <w:szCs w:val="32"/>
        </w:rPr>
        <w:t>山东</w:t>
      </w:r>
      <w:r>
        <w:rPr>
          <w:rFonts w:ascii="仿宋_GB2312" w:hAnsi="Courier New" w:eastAsia="仿宋_GB2312" w:cs="Courier New"/>
          <w:sz w:val="32"/>
          <w:szCs w:val="32"/>
        </w:rPr>
        <w:t xml:space="preserve">科技和经济社会发展作出重要贡献。 </w:t>
      </w:r>
    </w:p>
    <w:p w14:paraId="40C422E5">
      <w:pPr>
        <w:spacing w:line="570" w:lineRule="exact"/>
        <w:ind w:firstLine="640" w:firstLineChars="200"/>
        <w:rPr>
          <w:rFonts w:hint="eastAsia" w:ascii="仿宋_GB2312" w:eastAsia="仿宋_GB2312"/>
          <w:sz w:val="32"/>
          <w:szCs w:val="32"/>
        </w:rPr>
      </w:pPr>
      <w:r>
        <w:rPr>
          <w:rFonts w:hint="eastAsia" w:ascii="黑体" w:hAnsi="黑体" w:eastAsia="黑体" w:cs="黑体"/>
          <w:kern w:val="0"/>
          <w:sz w:val="32"/>
          <w:szCs w:val="32"/>
        </w:rPr>
        <w:t>第十条</w:t>
      </w:r>
      <w:r>
        <w:rPr>
          <w:rFonts w:hint="eastAsia"/>
          <w:sz w:val="28"/>
          <w:szCs w:val="28"/>
        </w:rPr>
        <w:t xml:space="preserve"> </w:t>
      </w:r>
      <w:r>
        <w:rPr>
          <w:rFonts w:hint="eastAsia" w:ascii="仿宋_GB2312" w:eastAsia="仿宋_GB2312"/>
          <w:sz w:val="32"/>
          <w:szCs w:val="32"/>
        </w:rPr>
        <w:t xml:space="preserve"> </w:t>
      </w:r>
      <w:r>
        <w:rPr>
          <w:rFonts w:hint="eastAsia" w:ascii="仿宋_GB2312" w:hAnsi="Courier New" w:eastAsia="仿宋_GB2312" w:cs="Courier New"/>
          <w:sz w:val="32"/>
          <w:szCs w:val="32"/>
        </w:rPr>
        <w:t>工程师奖。</w:t>
      </w:r>
      <w:r>
        <w:rPr>
          <w:rFonts w:hint="eastAsia" w:ascii="仿宋_GB2312" w:eastAsia="仿宋_GB2312"/>
          <w:sz w:val="32"/>
          <w:szCs w:val="32"/>
        </w:rPr>
        <w:t>设卓越工程师、杰出工程师、青年优秀工程师、杰出工程师团队。其中，每届卓越工程师不超过参评人数的10%，杰出工程师不超过参评人数20%，青年优秀工程师不超过参评人数20%；杰出工程师团队不超过参评团队的50%。</w:t>
      </w:r>
    </w:p>
    <w:p w14:paraId="6A9A49DB">
      <w:pPr>
        <w:spacing w:line="570" w:lineRule="exact"/>
        <w:ind w:firstLine="640" w:firstLineChars="200"/>
        <w:rPr>
          <w:rFonts w:ascii="仿宋_GB2312" w:eastAsia="仿宋_GB2312"/>
          <w:sz w:val="32"/>
          <w:szCs w:val="32"/>
        </w:rPr>
      </w:pPr>
      <w:r>
        <w:rPr>
          <w:rFonts w:hint="eastAsia" w:ascii="仿宋_GB2312" w:eastAsia="仿宋_GB2312"/>
          <w:sz w:val="32"/>
          <w:szCs w:val="32"/>
        </w:rPr>
        <w:t>评选标准：</w:t>
      </w:r>
    </w:p>
    <w:p w14:paraId="3C103BE6">
      <w:pPr>
        <w:spacing w:line="570" w:lineRule="exact"/>
        <w:ind w:firstLine="640" w:firstLineChars="200"/>
        <w:rPr>
          <w:rFonts w:ascii="仿宋_GB2312" w:eastAsia="仿宋_GB2312"/>
          <w:sz w:val="32"/>
          <w:szCs w:val="32"/>
        </w:rPr>
      </w:pPr>
      <w:r>
        <w:rPr>
          <w:rFonts w:hint="eastAsia" w:ascii="仿宋_GB2312" w:eastAsia="仿宋_GB2312"/>
          <w:sz w:val="32"/>
          <w:szCs w:val="32"/>
        </w:rPr>
        <w:t>（一）卓越工程师、杰出工程师和工程师团队要求候选人、候选团队在本领域具有重大发明创造，取得了重要创新，解决了重大工程技术难题，成果和项目具有</w:t>
      </w:r>
      <w:r>
        <w:rPr>
          <w:rFonts w:ascii="仿宋_GB2312" w:eastAsia="仿宋_GB2312"/>
          <w:sz w:val="32"/>
          <w:szCs w:val="32"/>
        </w:rPr>
        <w:t xml:space="preserve">广泛影响力，为国内外同行公认，为科技和经济社会发展作出重大贡献。 </w:t>
      </w:r>
    </w:p>
    <w:p w14:paraId="55D6C6E9">
      <w:pPr>
        <w:spacing w:line="57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优秀青年工程师要求在工程科技领域有重要创新，推动了工程领域技术进步，解决了重要工程技术难题，在成果转化和推广应用过程中作出了创造性贡献，取得了显著的经济效益和社会效益。</w:t>
      </w:r>
    </w:p>
    <w:p w14:paraId="2B99C91D">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第四章  推荐和受理</w:t>
      </w:r>
    </w:p>
    <w:p w14:paraId="45C529AA">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第十一条</w:t>
      </w:r>
      <w:r>
        <w:rPr>
          <w:rFonts w:hint="eastAsia" w:hAnsi="宋体" w:cs="宋体"/>
          <w:kern w:val="0"/>
          <w:sz w:val="28"/>
          <w:szCs w:val="28"/>
        </w:rPr>
        <w:t xml:space="preserve"> </w:t>
      </w:r>
      <w:r>
        <w:rPr>
          <w:rFonts w:hint="eastAsia" w:ascii="仿宋_GB2312" w:eastAsia="仿宋_GB2312"/>
          <w:sz w:val="32"/>
          <w:szCs w:val="32"/>
        </w:rPr>
        <w:t xml:space="preserve"> 各奖项采用推荐制。推荐人（机构）包括：</w:t>
      </w:r>
    </w:p>
    <w:p w14:paraId="37DC2737">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（一）中国科学院院士、中国工程院院士、“国家卓越工程师”称号获得者。</w:t>
      </w:r>
    </w:p>
    <w:p w14:paraId="13D93543">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（二）本协会会长、副会长；理事可以两位联合推荐；历届卓越</w:t>
      </w:r>
      <w:r>
        <w:rPr>
          <w:rFonts w:hint="eastAsia" w:ascii="仿宋_GB2312" w:eastAsia="仿宋_GB2312"/>
          <w:sz w:val="32"/>
          <w:szCs w:val="32"/>
          <w:lang w:eastAsia="zh-CN"/>
        </w:rPr>
        <w:t>、</w:t>
      </w:r>
      <w:r>
        <w:rPr>
          <w:rFonts w:hint="eastAsia" w:ascii="仿宋_GB2312" w:eastAsia="仿宋_GB2312"/>
          <w:sz w:val="32"/>
          <w:szCs w:val="32"/>
        </w:rPr>
        <w:t>杰出工程师奖获得者可以两位联合推荐。推荐专家不能作为同年度被推荐项目的完成人或候选人。</w:t>
      </w:r>
    </w:p>
    <w:p w14:paraId="0EDCFB5F">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（三）本协会分支机构、理事单位、会员单位，央企、国企和省属企事业科协。各分支机构负责对本专业领域单位和个人申报材料的汇总和初审工作。</w:t>
      </w:r>
    </w:p>
    <w:p w14:paraId="4EA42F8C">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（四）工程技术领域的省级学会。</w:t>
      </w:r>
    </w:p>
    <w:p w14:paraId="0BC0E501">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（五）市级工程师协会、人才集团。</w:t>
      </w:r>
    </w:p>
    <w:p w14:paraId="021E145C">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第十二条</w:t>
      </w:r>
      <w:r>
        <w:rPr>
          <w:rFonts w:hint="eastAsia" w:ascii="仿宋_GB2312" w:eastAsia="仿宋_GB2312"/>
          <w:sz w:val="32"/>
          <w:szCs w:val="32"/>
        </w:rPr>
        <w:t xml:space="preserve">  推荐条件</w:t>
      </w:r>
    </w:p>
    <w:p w14:paraId="56FFBB5A">
      <w:pPr>
        <w:widowControl/>
        <w:ind w:firstLine="640" w:firstLineChars="200"/>
        <w:jc w:val="left"/>
      </w:pPr>
      <w:r>
        <w:rPr>
          <w:rFonts w:ascii="仿宋_GB2312" w:hAnsi="Courier New" w:eastAsia="仿宋_GB2312" w:cs="Courier New"/>
          <w:sz w:val="32"/>
          <w:szCs w:val="32"/>
        </w:rPr>
        <w:t>（一）</w:t>
      </w:r>
      <w:r>
        <w:rPr>
          <w:rFonts w:hint="eastAsia" w:ascii="仿宋_GB2312" w:hAnsi="Courier New" w:eastAsia="仿宋_GB2312" w:cs="Courier New"/>
          <w:sz w:val="32"/>
          <w:szCs w:val="32"/>
        </w:rPr>
        <w:t>成果奖</w:t>
      </w:r>
      <w:r>
        <w:rPr>
          <w:rFonts w:ascii="仿宋_GB2312" w:hAnsi="Courier New" w:eastAsia="仿宋_GB2312" w:cs="Courier New"/>
          <w:sz w:val="32"/>
          <w:szCs w:val="32"/>
        </w:rPr>
        <w:t>候选项目应当具备</w:t>
      </w:r>
      <w:r>
        <w:rPr>
          <w:rFonts w:hint="eastAsia" w:ascii="仿宋_GB2312" w:hAnsi="Courier New" w:eastAsia="仿宋_GB2312" w:cs="Courier New"/>
          <w:sz w:val="32"/>
          <w:szCs w:val="32"/>
        </w:rPr>
        <w:t>以下</w:t>
      </w:r>
      <w:r>
        <w:rPr>
          <w:rFonts w:ascii="仿宋_GB2312" w:hAnsi="Courier New" w:eastAsia="仿宋_GB2312" w:cs="Courier New"/>
          <w:sz w:val="32"/>
          <w:szCs w:val="32"/>
        </w:rPr>
        <w:t>条件：</w:t>
      </w:r>
      <w:r>
        <w:rPr>
          <w:rFonts w:ascii="CIDFont" w:hAnsi="CIDFont" w:eastAsia="CIDFont" w:cs="CIDFont"/>
          <w:color w:val="000000"/>
          <w:kern w:val="0"/>
          <w:sz w:val="31"/>
          <w:szCs w:val="31"/>
          <w:lang w:bidi="ar"/>
        </w:rPr>
        <w:t xml:space="preserve"> </w:t>
      </w:r>
    </w:p>
    <w:p w14:paraId="2BC352CD">
      <w:pPr>
        <w:widowControl/>
        <w:ind w:firstLine="640" w:firstLineChars="200"/>
        <w:jc w:val="left"/>
        <w:rPr>
          <w:rFonts w:ascii="仿宋_GB2312" w:hAnsi="Courier New" w:eastAsia="仿宋_GB2312" w:cs="Courier New"/>
          <w:sz w:val="32"/>
          <w:szCs w:val="32"/>
        </w:rPr>
      </w:pPr>
      <w:r>
        <w:rPr>
          <w:rFonts w:ascii="仿宋_GB2312" w:hAnsi="Courier New" w:eastAsia="仿宋_GB2312" w:cs="Courier New"/>
          <w:sz w:val="32"/>
          <w:szCs w:val="32"/>
        </w:rPr>
        <w:t>1</w:t>
      </w:r>
      <w:r>
        <w:rPr>
          <w:rFonts w:hint="eastAsia" w:ascii="仿宋_GB2312" w:hAnsi="Courier New" w:eastAsia="仿宋_GB2312" w:cs="Courier New"/>
          <w:sz w:val="32"/>
          <w:szCs w:val="32"/>
        </w:rPr>
        <w:t>.</w:t>
      </w:r>
      <w:r>
        <w:rPr>
          <w:rFonts w:ascii="仿宋_GB2312" w:hAnsi="Courier New" w:eastAsia="仿宋_GB2312" w:cs="Courier New"/>
          <w:sz w:val="32"/>
          <w:szCs w:val="32"/>
        </w:rPr>
        <w:t>应是在</w:t>
      </w:r>
      <w:r>
        <w:rPr>
          <w:rFonts w:hint="eastAsia" w:ascii="仿宋_GB2312" w:hAnsi="Courier New" w:eastAsia="仿宋_GB2312" w:cs="Courier New"/>
          <w:sz w:val="32"/>
          <w:szCs w:val="32"/>
        </w:rPr>
        <w:t>山东</w:t>
      </w:r>
      <w:r>
        <w:rPr>
          <w:rFonts w:ascii="仿宋_GB2312" w:hAnsi="Courier New" w:eastAsia="仿宋_GB2312" w:cs="Courier New"/>
          <w:sz w:val="32"/>
          <w:szCs w:val="32"/>
        </w:rPr>
        <w:t>省内开展工程科技领域研究开发和应用推广，第一完成单位为依法在</w:t>
      </w:r>
      <w:r>
        <w:rPr>
          <w:rFonts w:hint="eastAsia" w:ascii="仿宋_GB2312" w:hAnsi="Courier New" w:eastAsia="仿宋_GB2312" w:cs="Courier New"/>
          <w:sz w:val="32"/>
          <w:szCs w:val="32"/>
        </w:rPr>
        <w:t>山东</w:t>
      </w:r>
      <w:r>
        <w:rPr>
          <w:rFonts w:hint="eastAsia" w:ascii="仿宋_GB2312" w:hAnsi="Courier New" w:eastAsia="仿宋_GB2312" w:cs="Courier New"/>
          <w:sz w:val="32"/>
          <w:szCs w:val="32"/>
          <w:lang w:val="en-US" w:eastAsia="zh-CN"/>
        </w:rPr>
        <w:t>省</w:t>
      </w:r>
      <w:r>
        <w:rPr>
          <w:rFonts w:ascii="仿宋_GB2312" w:hAnsi="Courier New" w:eastAsia="仿宋_GB2312" w:cs="Courier New"/>
          <w:sz w:val="32"/>
          <w:szCs w:val="32"/>
        </w:rPr>
        <w:t>设立的法人单位</w:t>
      </w:r>
      <w:r>
        <w:rPr>
          <w:rFonts w:hint="eastAsia" w:ascii="仿宋_GB2312" w:hAnsi="Courier New" w:eastAsia="仿宋_GB2312" w:cs="Courier New"/>
          <w:sz w:val="32"/>
          <w:szCs w:val="32"/>
        </w:rPr>
        <w:t>，</w:t>
      </w:r>
      <w:r>
        <w:rPr>
          <w:rFonts w:ascii="仿宋_GB2312" w:hAnsi="Courier New" w:eastAsia="仿宋_GB2312" w:cs="Courier New"/>
          <w:sz w:val="32"/>
          <w:szCs w:val="32"/>
        </w:rPr>
        <w:t>第一完成人人事关系在</w:t>
      </w:r>
      <w:r>
        <w:rPr>
          <w:rFonts w:hint="eastAsia" w:ascii="仿宋_GB2312" w:hAnsi="Courier New" w:eastAsia="仿宋_GB2312" w:cs="Courier New"/>
          <w:sz w:val="32"/>
          <w:szCs w:val="32"/>
        </w:rPr>
        <w:t>山东</w:t>
      </w:r>
      <w:r>
        <w:rPr>
          <w:rFonts w:ascii="仿宋_GB2312" w:hAnsi="Courier New" w:eastAsia="仿宋_GB2312" w:cs="Courier New"/>
          <w:sz w:val="32"/>
          <w:szCs w:val="32"/>
        </w:rPr>
        <w:t xml:space="preserve">省内单位。 </w:t>
      </w:r>
    </w:p>
    <w:p w14:paraId="7F4C4A8D">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2.</w:t>
      </w:r>
      <w:r>
        <w:rPr>
          <w:rFonts w:ascii="仿宋_GB2312" w:hAnsi="Courier New" w:eastAsia="仿宋_GB2312" w:cs="Courier New"/>
          <w:sz w:val="32"/>
          <w:szCs w:val="32"/>
        </w:rPr>
        <w:t xml:space="preserve">应用类项目已实施应用两年以上。 </w:t>
      </w:r>
    </w:p>
    <w:p w14:paraId="2CD4F963">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3.项目</w:t>
      </w:r>
      <w:r>
        <w:rPr>
          <w:rFonts w:ascii="仿宋_GB2312" w:hAnsi="Courier New" w:eastAsia="仿宋_GB2312" w:cs="Courier New"/>
          <w:sz w:val="32"/>
          <w:szCs w:val="32"/>
        </w:rPr>
        <w:t>完成单位、完成人各不得超过9个，原则上须为本</w:t>
      </w:r>
      <w:r>
        <w:rPr>
          <w:rFonts w:hint="eastAsia" w:ascii="仿宋_GB2312" w:hAnsi="Courier New" w:eastAsia="仿宋_GB2312" w:cs="Courier New"/>
          <w:sz w:val="32"/>
          <w:szCs w:val="32"/>
        </w:rPr>
        <w:t>协</w:t>
      </w:r>
      <w:r>
        <w:rPr>
          <w:rFonts w:ascii="仿宋_GB2312" w:hAnsi="Courier New" w:eastAsia="仿宋_GB2312" w:cs="Courier New"/>
          <w:sz w:val="32"/>
          <w:szCs w:val="32"/>
        </w:rPr>
        <w:t xml:space="preserve">会会员。 </w:t>
      </w:r>
    </w:p>
    <w:p w14:paraId="01700FAE">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4.</w:t>
      </w:r>
      <w:r>
        <w:rPr>
          <w:rFonts w:ascii="仿宋_GB2312" w:hAnsi="Courier New" w:eastAsia="仿宋_GB2312" w:cs="Courier New"/>
          <w:sz w:val="32"/>
          <w:szCs w:val="32"/>
        </w:rPr>
        <w:t>须提供第三方</w:t>
      </w:r>
      <w:r>
        <w:rPr>
          <w:rFonts w:hint="eastAsia" w:ascii="仿宋_GB2312" w:hAnsi="Courier New" w:eastAsia="仿宋_GB2312" w:cs="Courier New"/>
          <w:sz w:val="32"/>
          <w:szCs w:val="32"/>
          <w:lang w:val="en-US" w:eastAsia="zh-CN"/>
        </w:rPr>
        <w:t>或本协会</w:t>
      </w:r>
      <w:r>
        <w:rPr>
          <w:rFonts w:ascii="仿宋_GB2312" w:hAnsi="Courier New" w:eastAsia="仿宋_GB2312" w:cs="Courier New"/>
          <w:sz w:val="32"/>
          <w:szCs w:val="32"/>
        </w:rPr>
        <w:t xml:space="preserve">成果评价意见。 </w:t>
      </w:r>
    </w:p>
    <w:p w14:paraId="431628FA">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5.</w:t>
      </w:r>
      <w:r>
        <w:rPr>
          <w:rFonts w:ascii="仿宋_GB2312" w:hAnsi="Courier New" w:eastAsia="仿宋_GB2312" w:cs="Courier New"/>
          <w:sz w:val="32"/>
          <w:szCs w:val="32"/>
        </w:rPr>
        <w:t>同一人作为第一完成人本年度</w:t>
      </w:r>
      <w:bookmarkStart w:id="0" w:name="_GoBack"/>
      <w:bookmarkEnd w:id="0"/>
      <w:r>
        <w:rPr>
          <w:rFonts w:ascii="仿宋_GB2312" w:hAnsi="Courier New" w:eastAsia="仿宋_GB2312" w:cs="Courier New"/>
          <w:sz w:val="32"/>
          <w:szCs w:val="32"/>
        </w:rPr>
        <w:t>最多申报1项成果奖。同一</w:t>
      </w:r>
      <w:r>
        <w:rPr>
          <w:rFonts w:hint="eastAsia" w:ascii="仿宋_GB2312" w:hAnsi="Courier New" w:eastAsia="仿宋_GB2312" w:cs="Courier New"/>
          <w:sz w:val="32"/>
          <w:szCs w:val="32"/>
        </w:rPr>
        <w:t>单位</w:t>
      </w:r>
      <w:r>
        <w:rPr>
          <w:rFonts w:ascii="仿宋_GB2312" w:hAnsi="Courier New" w:eastAsia="仿宋_GB2312" w:cs="Courier New"/>
          <w:sz w:val="32"/>
          <w:szCs w:val="32"/>
        </w:rPr>
        <w:t xml:space="preserve">作为第一完成单位本年度最多申报2项成果奖。 </w:t>
      </w:r>
    </w:p>
    <w:p w14:paraId="442EE373">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（二）卓越工程师、杰出工程师、青年优秀工程师</w:t>
      </w:r>
      <w:r>
        <w:rPr>
          <w:rFonts w:ascii="仿宋_GB2312" w:eastAsia="仿宋_GB2312"/>
          <w:sz w:val="32"/>
          <w:szCs w:val="32"/>
        </w:rPr>
        <w:t>候选</w:t>
      </w:r>
      <w:r>
        <w:rPr>
          <w:rFonts w:hint="eastAsia" w:ascii="仿宋_GB2312" w:eastAsia="仿宋_GB2312"/>
          <w:sz w:val="32"/>
          <w:szCs w:val="32"/>
        </w:rPr>
        <w:t>人</w:t>
      </w:r>
      <w:r>
        <w:rPr>
          <w:rFonts w:ascii="仿宋_GB2312" w:eastAsia="仿宋_GB2312"/>
          <w:sz w:val="32"/>
          <w:szCs w:val="32"/>
        </w:rPr>
        <w:t>应当具备的条件：</w:t>
      </w:r>
    </w:p>
    <w:p w14:paraId="55D895E8">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1.爱党报国，敬业奉献，具有良好的职业道德。</w:t>
      </w:r>
    </w:p>
    <w:p w14:paraId="70FBCB08">
      <w:pPr>
        <w:pStyle w:val="3"/>
        <w:spacing w:line="57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2.</w:t>
      </w:r>
      <w:r>
        <w:rPr>
          <w:rFonts w:hint="eastAsia" w:ascii="仿宋_GB2312" w:eastAsia="仿宋_GB2312"/>
          <w:sz w:val="32"/>
          <w:szCs w:val="32"/>
          <w:lang w:val="en-US" w:eastAsia="zh-CN"/>
        </w:rPr>
        <w:t>具备工程师或同等资格，</w:t>
      </w:r>
      <w:r>
        <w:rPr>
          <w:rFonts w:hint="eastAsia" w:ascii="仿宋_GB2312" w:eastAsia="仿宋_GB2312"/>
          <w:sz w:val="32"/>
          <w:szCs w:val="32"/>
        </w:rPr>
        <w:t>在工程科技、工程管理、工程教育等领域从事技术研究、技术创新、技术开发、成果转化、创新创业等工作6年及以上。</w:t>
      </w:r>
    </w:p>
    <w:p w14:paraId="06A8E560">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3.人事关系在山东省内单位，在山东省工作3年以上，原则上须为本协会会员。</w:t>
      </w:r>
    </w:p>
    <w:p w14:paraId="187443E8">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4.青年优秀工程师候选人年龄为45周岁及以下。</w:t>
      </w:r>
    </w:p>
    <w:p w14:paraId="3F5DDF51">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5.同一单位本年度卓越工程师、杰出工程师、青年优秀工程师</w:t>
      </w:r>
      <w:r>
        <w:rPr>
          <w:rFonts w:ascii="仿宋_GB2312" w:eastAsia="仿宋_GB2312"/>
          <w:sz w:val="32"/>
          <w:szCs w:val="32"/>
        </w:rPr>
        <w:t>工程师</w:t>
      </w:r>
      <w:r>
        <w:rPr>
          <w:rFonts w:hint="eastAsia" w:ascii="仿宋_GB2312" w:eastAsia="仿宋_GB2312"/>
          <w:sz w:val="32"/>
          <w:szCs w:val="32"/>
        </w:rPr>
        <w:t>推荐候选人最多各</w:t>
      </w:r>
      <w:r>
        <w:rPr>
          <w:rFonts w:ascii="仿宋_GB2312" w:eastAsia="仿宋_GB2312"/>
          <w:sz w:val="32"/>
          <w:szCs w:val="32"/>
        </w:rPr>
        <w:t>1人。</w:t>
      </w:r>
    </w:p>
    <w:p w14:paraId="0F4CFD92">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（三）杰出工程师团队候选团队</w:t>
      </w:r>
      <w:r>
        <w:rPr>
          <w:rFonts w:ascii="仿宋_GB2312" w:eastAsia="仿宋_GB2312"/>
          <w:sz w:val="32"/>
          <w:szCs w:val="32"/>
        </w:rPr>
        <w:t>应当具备的条件：</w:t>
      </w:r>
    </w:p>
    <w:p w14:paraId="17A88709">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1.爱党报国，敬业奉献，具有良好的职业道德和团队协作精神。</w:t>
      </w:r>
    </w:p>
    <w:p w14:paraId="37511234">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2.在生产、建设一线从事产品或工程项目生产、施工、开发、设计、研究、管理。</w:t>
      </w:r>
    </w:p>
    <w:p w14:paraId="3C3415A1">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3.组成3年及以上，成员3人及以上，其中高级工程师不少于2人。</w:t>
      </w:r>
    </w:p>
    <w:p w14:paraId="352E98EE">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4.同一单位本年度杰出工程师团队推荐候选团队最多</w:t>
      </w:r>
      <w:r>
        <w:rPr>
          <w:rFonts w:ascii="仿宋_GB2312" w:eastAsia="仿宋_GB2312"/>
          <w:sz w:val="32"/>
          <w:szCs w:val="32"/>
        </w:rPr>
        <w:t>1</w:t>
      </w:r>
      <w:r>
        <w:rPr>
          <w:rFonts w:hint="eastAsia" w:ascii="仿宋_GB2312" w:eastAsia="仿宋_GB2312"/>
          <w:sz w:val="32"/>
          <w:szCs w:val="32"/>
        </w:rPr>
        <w:t>个</w:t>
      </w:r>
      <w:r>
        <w:rPr>
          <w:rFonts w:ascii="仿宋_GB2312" w:eastAsia="仿宋_GB2312"/>
          <w:sz w:val="32"/>
          <w:szCs w:val="32"/>
        </w:rPr>
        <w:t>。</w:t>
      </w:r>
    </w:p>
    <w:p w14:paraId="57ADBB53">
      <w:pPr>
        <w:widowControl/>
        <w:ind w:firstLine="640" w:firstLineChars="200"/>
        <w:jc w:val="left"/>
        <w:rPr>
          <w:rFonts w:ascii="仿宋_GB2312" w:eastAsia="仿宋_GB2312"/>
          <w:sz w:val="32"/>
          <w:szCs w:val="32"/>
        </w:rPr>
      </w:pPr>
      <w:r>
        <w:rPr>
          <w:rFonts w:hint="eastAsia" w:ascii="黑体" w:hAnsi="黑体" w:eastAsia="黑体" w:cs="黑体"/>
          <w:kern w:val="0"/>
          <w:sz w:val="32"/>
          <w:szCs w:val="32"/>
        </w:rPr>
        <w:t>第十三条</w:t>
      </w:r>
      <w:r>
        <w:rPr>
          <w:rFonts w:hint="eastAsia"/>
          <w:sz w:val="28"/>
          <w:szCs w:val="28"/>
        </w:rPr>
        <w:t xml:space="preserve">  </w:t>
      </w:r>
      <w:r>
        <w:rPr>
          <w:rFonts w:hint="eastAsia" w:ascii="仿宋_GB2312" w:eastAsia="仿宋_GB2312"/>
          <w:sz w:val="32"/>
          <w:szCs w:val="32"/>
        </w:rPr>
        <w:t>往届奖项获得者，不再参加同奖项的评选。往届获得杰出工程师的，可参加卓越工程师评选；往届获得青年优秀工程师的，可参加杰出工程师、卓越工程师评选。往届获得杰出工程师团队但首席专家和关键成员有变化的，可重新参加团体奖项评选。</w:t>
      </w:r>
    </w:p>
    <w:p w14:paraId="3EF84953">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第十四条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推荐人（机构）只能推荐与本领域相关的候选人（团队）。并征得被推荐者同意，按照要求填写推荐人(机构)情况</w:t>
      </w:r>
      <w:r>
        <w:rPr>
          <w:rFonts w:hint="eastAsia" w:ascii="仿宋_GB2312" w:eastAsia="仿宋_GB2312"/>
          <w:sz w:val="32"/>
          <w:szCs w:val="32"/>
          <w:lang w:val="en-US" w:eastAsia="zh-CN"/>
        </w:rPr>
        <w:t>表</w:t>
      </w:r>
      <w:r>
        <w:rPr>
          <w:rFonts w:hint="eastAsia" w:ascii="仿宋_GB2312" w:eastAsia="仿宋_GB2312"/>
          <w:sz w:val="32"/>
          <w:szCs w:val="32"/>
        </w:rPr>
        <w:t>。推荐者及被推荐者应当对申报材料的真实性、合规以及知情同意等情况作出承诺。</w:t>
      </w:r>
    </w:p>
    <w:p w14:paraId="5621DDC0">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 xml:space="preserve">第十五条 </w:t>
      </w:r>
      <w:r>
        <w:rPr>
          <w:rFonts w:hint="eastAsia" w:hAnsi="宋体" w:cs="宋体"/>
          <w:kern w:val="0"/>
          <w:sz w:val="28"/>
          <w:szCs w:val="28"/>
        </w:rPr>
        <w:t xml:space="preserve"> </w:t>
      </w:r>
      <w:r>
        <w:rPr>
          <w:rFonts w:hint="eastAsia" w:ascii="仿宋_GB2312" w:eastAsia="仿宋_GB2312"/>
          <w:sz w:val="32"/>
          <w:szCs w:val="32"/>
        </w:rPr>
        <w:t>评审材料须真实可靠，推荐意见须客观公正。被推荐（项目/人/团队）有弄虚作假等行为，或以其他不正当手段影响评选工作的，取消其参评资格；对已获得者，撤销其称号，并在相关媒体上予以公布。</w:t>
      </w:r>
    </w:p>
    <w:p w14:paraId="6C44FE77">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第十六条</w:t>
      </w:r>
      <w:r>
        <w:rPr>
          <w:rFonts w:hint="eastAsia" w:ascii="仿宋_GB2312" w:eastAsia="仿宋_GB2312"/>
          <w:sz w:val="32"/>
          <w:szCs w:val="32"/>
        </w:rPr>
        <w:t xml:space="preserve">  以下情况不予受理：</w:t>
      </w:r>
    </w:p>
    <w:p w14:paraId="2DE314C4">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（一）存在成果权属、完成单位和完成人等方面争议的。</w:t>
      </w:r>
    </w:p>
    <w:p w14:paraId="7BA06EA7">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（二）已获国家级、省部级科技奖励的。</w:t>
      </w:r>
    </w:p>
    <w:p w14:paraId="54C1F97F">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（三）涉密项目。</w:t>
      </w:r>
    </w:p>
    <w:p w14:paraId="308D6EA8">
      <w:pPr>
        <w:widowControl/>
        <w:ind w:firstLine="640" w:firstLineChars="200"/>
        <w:jc w:val="left"/>
        <w:rPr>
          <w:rFonts w:ascii="仿宋_GB2312" w:hAnsi="Courier New" w:eastAsia="仿宋_GB2312" w:cs="Courier New"/>
          <w:sz w:val="32"/>
          <w:szCs w:val="32"/>
        </w:rPr>
      </w:pPr>
      <w:r>
        <w:rPr>
          <w:rFonts w:hint="eastAsia" w:ascii="仿宋_GB2312" w:hAnsi="Courier New" w:eastAsia="仿宋_GB2312" w:cs="Courier New"/>
          <w:sz w:val="32"/>
          <w:szCs w:val="32"/>
        </w:rPr>
        <w:t>（四）</w:t>
      </w:r>
      <w:r>
        <w:rPr>
          <w:rFonts w:ascii="仿宋_GB2312" w:hAnsi="Courier New" w:eastAsia="仿宋_GB2312" w:cs="Courier New"/>
          <w:sz w:val="32"/>
          <w:szCs w:val="32"/>
        </w:rPr>
        <w:t xml:space="preserve">已经申报本年度工程师奖的候选人不得作为前三位完成人申报本年度成果奖。 </w:t>
      </w:r>
    </w:p>
    <w:p w14:paraId="3CDADDA0">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第五章  评审和授奖</w:t>
      </w:r>
    </w:p>
    <w:p w14:paraId="33751E9D">
      <w:pPr>
        <w:pStyle w:val="3"/>
        <w:spacing w:line="570" w:lineRule="exact"/>
        <w:ind w:firstLine="640" w:firstLineChars="200"/>
        <w:rPr>
          <w:rFonts w:ascii="仿宋_GB2312" w:eastAsia="仿宋_GB2312"/>
          <w:sz w:val="32"/>
          <w:szCs w:val="32"/>
        </w:rPr>
      </w:pPr>
      <w:r>
        <w:rPr>
          <w:rFonts w:hint="eastAsia" w:ascii="黑体" w:hAnsi="黑体" w:eastAsia="黑体" w:cs="黑体"/>
          <w:sz w:val="32"/>
          <w:szCs w:val="32"/>
        </w:rPr>
        <w:t>第十七条</w:t>
      </w:r>
      <w:r>
        <w:rPr>
          <w:rFonts w:hint="eastAsia" w:ascii="仿宋_GB2312" w:eastAsia="仿宋_GB2312"/>
          <w:sz w:val="32"/>
          <w:szCs w:val="32"/>
        </w:rPr>
        <w:t xml:space="preserve">  评审采用形式审查、专家网络评审、专家现场评审、奖励委员会审定的方式。评审流程：</w:t>
      </w:r>
    </w:p>
    <w:p w14:paraId="2F243E8F">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（一）奖励委员会办公室对评审材料进行形式审查，并根据评审材料情况进行分类。</w:t>
      </w:r>
    </w:p>
    <w:p w14:paraId="1C80BF68">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（二）评审委员会组织评审，并向奖励委员会提交评审名单和奖励建议。</w:t>
      </w:r>
    </w:p>
    <w:p w14:paraId="123BA8E3">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（三）经奖励委员会批准，奖励委员会办公室对评审结果向社会公示5个工作日。</w:t>
      </w:r>
    </w:p>
    <w:p w14:paraId="15CAD779">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（四）经奖励委员会审定后，发布获奖名单。</w:t>
      </w:r>
    </w:p>
    <w:p w14:paraId="21B8E99E">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第十八条</w:t>
      </w:r>
      <w:r>
        <w:rPr>
          <w:rFonts w:hint="eastAsia" w:hAnsi="宋体" w:cs="宋体"/>
          <w:kern w:val="0"/>
          <w:sz w:val="28"/>
          <w:szCs w:val="28"/>
        </w:rPr>
        <w:t xml:space="preserve">  </w:t>
      </w:r>
      <w:r>
        <w:rPr>
          <w:rFonts w:hint="eastAsia" w:ascii="仿宋_GB2312" w:eastAsia="仿宋_GB2312"/>
          <w:sz w:val="32"/>
          <w:szCs w:val="32"/>
        </w:rPr>
        <w:t>评审工作执行回避制度，有关联的单位和个人不得参与评审工作。</w:t>
      </w:r>
    </w:p>
    <w:p w14:paraId="4DE70FC4">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第六章  异议及处理</w:t>
      </w:r>
    </w:p>
    <w:p w14:paraId="3454A2FA">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第十九条</w:t>
      </w:r>
      <w:r>
        <w:rPr>
          <w:rFonts w:hint="eastAsia"/>
          <w:sz w:val="28"/>
          <w:szCs w:val="28"/>
        </w:rPr>
        <w:t xml:space="preserve">  </w:t>
      </w:r>
      <w:r>
        <w:rPr>
          <w:rFonts w:hint="eastAsia" w:ascii="仿宋_GB2312" w:eastAsia="仿宋_GB2312"/>
          <w:sz w:val="32"/>
          <w:szCs w:val="32"/>
        </w:rPr>
        <w:t>评审工作接受社会监督，公示期内接受异议，逾期不予受理。</w:t>
      </w:r>
    </w:p>
    <w:p w14:paraId="2DFD2351">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第二十条</w:t>
      </w:r>
      <w:r>
        <w:rPr>
          <w:rFonts w:hint="eastAsia" w:ascii="仿宋_GB2312" w:eastAsia="仿宋_GB2312"/>
          <w:sz w:val="32"/>
          <w:szCs w:val="32"/>
        </w:rPr>
        <w:t xml:space="preserve">  提出异议者必须以书面形式提交“异议书”。异议书应当符合下列要求：</w:t>
      </w:r>
    </w:p>
    <w:p w14:paraId="6340B3BD">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（一）详细说明异议内容；</w:t>
      </w:r>
    </w:p>
    <w:p w14:paraId="443C4748">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（二）提交异议的事实依据；</w:t>
      </w:r>
    </w:p>
    <w:p w14:paraId="57876507">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（三）单位提出异议的，单位负责人须签字并加盖单位公章，注明联系人和联系电话；个人提出异议的，须签署本人真实姓名、工作单位和联系电话。</w:t>
      </w:r>
    </w:p>
    <w:p w14:paraId="003BAF83">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不符合上述要求的异议，不予受理。</w:t>
      </w:r>
    </w:p>
    <w:p w14:paraId="0CC8F2A2">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第二十一条</w:t>
      </w:r>
      <w:r>
        <w:rPr>
          <w:rFonts w:hint="eastAsia"/>
          <w:sz w:val="28"/>
          <w:szCs w:val="28"/>
        </w:rPr>
        <w:t xml:space="preserve">  </w:t>
      </w:r>
      <w:r>
        <w:rPr>
          <w:rFonts w:hint="eastAsia" w:ascii="仿宋_GB2312" w:eastAsia="仿宋_GB2312"/>
          <w:sz w:val="32"/>
          <w:szCs w:val="32"/>
        </w:rPr>
        <w:t>奖励委员会办公室受理异议，一般委托被推荐人所在单位或推荐人（机构）对异议进行调查，必要时可直接进行专项调查。</w:t>
      </w:r>
    </w:p>
    <w:p w14:paraId="1410F39E">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第二十二条</w:t>
      </w:r>
      <w:r>
        <w:rPr>
          <w:rFonts w:hint="eastAsia"/>
          <w:sz w:val="28"/>
          <w:szCs w:val="28"/>
        </w:rPr>
        <w:t xml:space="preserve">  </w:t>
      </w:r>
      <w:r>
        <w:rPr>
          <w:rFonts w:hint="eastAsia" w:ascii="仿宋_GB2312" w:eastAsia="仿宋_GB2312"/>
          <w:sz w:val="32"/>
          <w:szCs w:val="32"/>
        </w:rPr>
        <w:t>奖励委员会办公室向奖励委员会报告异议核实情况，重大问题报奖励委员会研究处理。</w:t>
      </w:r>
    </w:p>
    <w:p w14:paraId="695EB02E">
      <w:pPr>
        <w:pStyle w:val="3"/>
        <w:spacing w:before="156" w:beforeLines="50" w:after="156" w:afterLines="50" w:line="570" w:lineRule="exact"/>
        <w:jc w:val="center"/>
        <w:rPr>
          <w:rFonts w:hint="eastAsia" w:ascii="黑体" w:hAnsi="黑体" w:eastAsia="黑体" w:cs="黑体"/>
          <w:bCs/>
          <w:sz w:val="32"/>
          <w:szCs w:val="32"/>
        </w:rPr>
      </w:pPr>
      <w:r>
        <w:rPr>
          <w:rFonts w:hint="eastAsia" w:ascii="黑体" w:hAnsi="黑体" w:eastAsia="黑体" w:cs="黑体"/>
          <w:bCs/>
          <w:sz w:val="32"/>
          <w:szCs w:val="32"/>
        </w:rPr>
        <w:t>第七章  附  则</w:t>
      </w:r>
    </w:p>
    <w:p w14:paraId="7099C3B7">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第二十三条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本办法由山东省工程师协会负责解释。</w:t>
      </w:r>
    </w:p>
    <w:p w14:paraId="55F63452">
      <w:pPr>
        <w:pStyle w:val="3"/>
        <w:spacing w:line="570" w:lineRule="exact"/>
        <w:ind w:firstLine="640" w:firstLineChars="200"/>
        <w:rPr>
          <w:rFonts w:hint="eastAsia" w:ascii="黑体" w:hAnsi="黑体" w:eastAsia="黑体" w:cs="黑体"/>
          <w:bCs/>
          <w:sz w:val="32"/>
          <w:szCs w:val="32"/>
        </w:rPr>
      </w:pPr>
      <w:r>
        <w:rPr>
          <w:rFonts w:hint="eastAsia" w:ascii="黑体" w:hAnsi="黑体" w:eastAsia="黑体" w:cs="黑体"/>
          <w:kern w:val="0"/>
          <w:sz w:val="32"/>
          <w:szCs w:val="32"/>
        </w:rPr>
        <w:t>第二十四条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本办法自公布之日起实行。</w:t>
      </w:r>
    </w:p>
    <w:sectPr>
      <w:footerReference r:id="rId7" w:type="first"/>
      <w:headerReference r:id="rId3" w:type="default"/>
      <w:footerReference r:id="rId5" w:type="default"/>
      <w:headerReference r:id="rId4" w:type="even"/>
      <w:footerReference r:id="rId6" w:type="even"/>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IDFont">
    <w:altName w:val="Segoe Print"/>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2024"/>
    </w:sdtPr>
    <w:sdtContent>
      <w:p w14:paraId="38BD95B1">
        <w:pPr>
          <w:pStyle w:val="5"/>
          <w:jc w:val="center"/>
        </w:pPr>
        <w:r>
          <w:rPr>
            <w:rFonts w:hint="eastAsia" w:ascii="方正小标宋_GBK" w:eastAsia="方正小标宋_GBK"/>
            <w:sz w:val="21"/>
            <w:szCs w:val="21"/>
          </w:rPr>
          <w:fldChar w:fldCharType="begin"/>
        </w:r>
        <w:r>
          <w:rPr>
            <w:rFonts w:hint="eastAsia" w:ascii="方正小标宋_GBK" w:eastAsia="方正小标宋_GBK"/>
            <w:sz w:val="21"/>
            <w:szCs w:val="21"/>
          </w:rPr>
          <w:instrText xml:space="preserve">PAGE   \* MERGEFORMAT</w:instrText>
        </w:r>
        <w:r>
          <w:rPr>
            <w:rFonts w:hint="eastAsia" w:ascii="方正小标宋_GBK" w:eastAsia="方正小标宋_GBK"/>
            <w:sz w:val="21"/>
            <w:szCs w:val="21"/>
          </w:rPr>
          <w:fldChar w:fldCharType="separate"/>
        </w:r>
        <w:r>
          <w:rPr>
            <w:rFonts w:ascii="方正小标宋_GBK" w:eastAsia="方正小标宋_GBK"/>
            <w:sz w:val="21"/>
            <w:szCs w:val="21"/>
            <w:lang w:val="zh-CN"/>
          </w:rPr>
          <w:t>29</w:t>
        </w:r>
        <w:r>
          <w:rPr>
            <w:rFonts w:hint="eastAsia" w:ascii="方正小标宋_GBK" w:eastAsia="方正小标宋_GBK"/>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03D70">
    <w:pPr>
      <w:pStyle w:val="5"/>
      <w:tabs>
        <w:tab w:val="left" w:pos="238"/>
        <w:tab w:val="clear" w:pos="4153"/>
      </w:tabs>
    </w:pPr>
    <w:r>
      <mc:AlternateContent>
        <mc:Choice Requires="wps">
          <w:drawing>
            <wp:anchor distT="0" distB="0" distL="114300" distR="114300" simplePos="0" relativeHeight="251661312" behindDoc="0" locked="0" layoutInCell="1" allowOverlap="1">
              <wp:simplePos x="0" y="0"/>
              <wp:positionH relativeFrom="margin">
                <wp:posOffset>8890</wp:posOffset>
              </wp:positionH>
              <wp:positionV relativeFrom="paragraph">
                <wp:posOffset>0</wp:posOffset>
              </wp:positionV>
              <wp:extent cx="824865" cy="230505"/>
              <wp:effectExtent l="0" t="0" r="0" b="0"/>
              <wp:wrapNone/>
              <wp:docPr id="9" name="文本框 12"/>
              <wp:cNvGraphicFramePr/>
              <a:graphic xmlns:a="http://schemas.openxmlformats.org/drawingml/2006/main">
                <a:graphicData uri="http://schemas.microsoft.com/office/word/2010/wordprocessingShape">
                  <wps:wsp>
                    <wps:cNvSpPr txBox="1"/>
                    <wps:spPr>
                      <a:xfrm>
                        <a:off x="0" y="0"/>
                        <a:ext cx="824865" cy="230505"/>
                      </a:xfrm>
                      <a:prstGeom prst="rect">
                        <a:avLst/>
                      </a:prstGeom>
                      <a:noFill/>
                      <a:ln w="9525">
                        <a:noFill/>
                      </a:ln>
                      <a:effectLst/>
                    </wps:spPr>
                    <wps:txbx>
                      <w:txbxContent>
                        <w:p w14:paraId="32F1A0D8">
                          <w:pPr>
                            <w:pStyle w:val="5"/>
                            <w:rPr>
                              <w:rFonts w:hint="eastAsia" w:ascii="宋体" w:hAnsi="宋体" w:cs="宋体"/>
                              <w:sz w:val="28"/>
                              <w:szCs w:val="28"/>
                            </w:rPr>
                          </w:pPr>
                          <w:r>
                            <w:rPr>
                              <w:rStyle w:val="10"/>
                              <w:rFonts w:hint="eastAsia" w:hAnsi="宋体"/>
                              <w:sz w:val="28"/>
                              <w:szCs w:val="28"/>
                            </w:rPr>
                            <w:t xml:space="preserve">— </w:t>
                          </w:r>
                          <w:r>
                            <w:rPr>
                              <w:rFonts w:ascii="宋体" w:hAnsi="宋体"/>
                              <w:sz w:val="28"/>
                              <w:szCs w:val="28"/>
                            </w:rPr>
                            <w:fldChar w:fldCharType="begin"/>
                          </w:r>
                          <w:r>
                            <w:rPr>
                              <w:rStyle w:val="10"/>
                              <w:rFonts w:hAnsi="宋体"/>
                              <w:sz w:val="28"/>
                              <w:szCs w:val="28"/>
                            </w:rPr>
                            <w:instrText xml:space="preserve"> PAGE  \* Arabic </w:instrText>
                          </w:r>
                          <w:r>
                            <w:rPr>
                              <w:rFonts w:ascii="宋体" w:hAnsi="宋体"/>
                              <w:sz w:val="28"/>
                              <w:szCs w:val="28"/>
                            </w:rPr>
                            <w:fldChar w:fldCharType="separate"/>
                          </w:r>
                          <w:r>
                            <w:rPr>
                              <w:rStyle w:val="10"/>
                              <w:rFonts w:hAnsi="宋体"/>
                              <w:sz w:val="28"/>
                              <w:szCs w:val="28"/>
                            </w:rPr>
                            <w:t>8</w:t>
                          </w:r>
                          <w:r>
                            <w:rPr>
                              <w:rFonts w:ascii="宋体" w:hAnsi="宋体"/>
                              <w:sz w:val="28"/>
                              <w:szCs w:val="28"/>
                            </w:rPr>
                            <w:fldChar w:fldCharType="end"/>
                          </w:r>
                          <w:r>
                            <w:rPr>
                              <w:rStyle w:val="10"/>
                              <w:rFonts w:hint="eastAsia" w:hAnsi="宋体"/>
                              <w:sz w:val="28"/>
                              <w:szCs w:val="28"/>
                            </w:rPr>
                            <w:t xml:space="preserve"> —</w:t>
                          </w:r>
                        </w:p>
                      </w:txbxContent>
                    </wps:txbx>
                    <wps:bodyPr lIns="0" tIns="0" rIns="0" bIns="0" upright="1"/>
                  </wps:wsp>
                </a:graphicData>
              </a:graphic>
            </wp:anchor>
          </w:drawing>
        </mc:Choice>
        <mc:Fallback>
          <w:pict>
            <v:shape id="文本框 12" o:spid="_x0000_s1026"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CTAaDTAAAABQEAAA8AAAAAAAAAAQAgAAAAIgAAAGRycy9kb3ducmV2&#10;LnhtbFBLAQIUABQAAAAIAIdO4kDtJbSayAEAAIkDAAAOAAAAAAAAAAEAIAAAACIBAABkcnMvZTJv&#10;RG9jLnhtbFBLBQYAAAAABgAGAFkBAABcBQAAAAA=&#10;">
              <v:fill on="f" focussize="0,0"/>
              <v:stroke on="f"/>
              <v:imagedata o:title=""/>
              <o:lock v:ext="edit" aspectratio="f"/>
              <v:textbox inset="0mm,0mm,0mm,0mm">
                <w:txbxContent>
                  <w:p w14:paraId="32F1A0D8">
                    <w:pPr>
                      <w:pStyle w:val="5"/>
                      <w:rPr>
                        <w:rFonts w:hint="eastAsia" w:ascii="宋体" w:hAnsi="宋体" w:cs="宋体"/>
                        <w:sz w:val="28"/>
                        <w:szCs w:val="28"/>
                      </w:rPr>
                    </w:pPr>
                    <w:r>
                      <w:rPr>
                        <w:rStyle w:val="10"/>
                        <w:rFonts w:hint="eastAsia" w:hAnsi="宋体"/>
                        <w:sz w:val="28"/>
                        <w:szCs w:val="28"/>
                      </w:rPr>
                      <w:t xml:space="preserve">— </w:t>
                    </w:r>
                    <w:r>
                      <w:rPr>
                        <w:rFonts w:ascii="宋体" w:hAnsi="宋体"/>
                        <w:sz w:val="28"/>
                        <w:szCs w:val="28"/>
                      </w:rPr>
                      <w:fldChar w:fldCharType="begin"/>
                    </w:r>
                    <w:r>
                      <w:rPr>
                        <w:rStyle w:val="10"/>
                        <w:rFonts w:hAnsi="宋体"/>
                        <w:sz w:val="28"/>
                        <w:szCs w:val="28"/>
                      </w:rPr>
                      <w:instrText xml:space="preserve"> PAGE  \* Arabic </w:instrText>
                    </w:r>
                    <w:r>
                      <w:rPr>
                        <w:rFonts w:ascii="宋体" w:hAnsi="宋体"/>
                        <w:sz w:val="28"/>
                        <w:szCs w:val="28"/>
                      </w:rPr>
                      <w:fldChar w:fldCharType="separate"/>
                    </w:r>
                    <w:r>
                      <w:rPr>
                        <w:rStyle w:val="10"/>
                        <w:rFonts w:hAnsi="宋体"/>
                        <w:sz w:val="28"/>
                        <w:szCs w:val="28"/>
                      </w:rPr>
                      <w:t>8</w:t>
                    </w:r>
                    <w:r>
                      <w:rPr>
                        <w:rFonts w:ascii="宋体" w:hAnsi="宋体"/>
                        <w:sz w:val="28"/>
                        <w:szCs w:val="28"/>
                      </w:rPr>
                      <w:fldChar w:fldCharType="end"/>
                    </w:r>
                    <w:r>
                      <w:rPr>
                        <w:rStyle w:val="10"/>
                        <w:rFonts w:hint="eastAsia"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7940">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A765340">
                          <w:pPr>
                            <w:pStyle w:val="5"/>
                          </w:pPr>
                          <w:r>
                            <w:fldChar w:fldCharType="begin"/>
                          </w:r>
                          <w:r>
                            <w:instrText xml:space="preserve"> PAGE  \* MERGEFORMAT </w:instrText>
                          </w:r>
                          <w:r>
                            <w:fldChar w:fldCharType="separate"/>
                          </w:r>
                          <w:r>
                            <w:rPr>
                              <w:rFonts w:hint="eastAsia"/>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cIZlL2AEAALADAAAOAAAAAAAAAAEAIAAA&#10;AB4BAABkcnMvZTJvRG9jLnhtbFBLBQYAAAAABgAGAFkBAABoBQAAAAA=&#10;">
              <v:fill on="f" focussize="0,0"/>
              <v:stroke on="f"/>
              <v:imagedata o:title=""/>
              <o:lock v:ext="edit" aspectratio="f"/>
              <v:textbox inset="0mm,0mm,0mm,0mm" style="mso-fit-shape-to-text:t;">
                <w:txbxContent>
                  <w:p w14:paraId="1A765340">
                    <w:pPr>
                      <w:pStyle w:val="5"/>
                    </w:pPr>
                    <w:r>
                      <w:fldChar w:fldCharType="begin"/>
                    </w:r>
                    <w:r>
                      <w:instrText xml:space="preserve"> PAGE  \* MERGEFORMAT </w:instrText>
                    </w:r>
                    <w:r>
                      <w:fldChar w:fldCharType="separate"/>
                    </w:r>
                    <w:r>
                      <w:rPr>
                        <w:rFonts w:hint="eastAsia"/>
                      </w:rP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FC9558C">
                          <w:pPr>
                            <w:pStyle w:val="5"/>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dF2JfXAQAAsAMAAA4AAAAAAAAAAQAgAAAA&#10;HgEAAGRycy9lMm9Eb2MueG1sUEsFBgAAAAAGAAYAWQEAAGcFAAAAAA==&#10;">
              <v:fill on="f" focussize="0,0"/>
              <v:stroke on="f"/>
              <v:imagedata o:title=""/>
              <o:lock v:ext="edit" aspectratio="f"/>
              <v:textbox inset="0mm,0mm,0mm,0mm" style="mso-fit-shape-to-text:t;">
                <w:txbxContent>
                  <w:p w14:paraId="4FC9558C">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C67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57D4F">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ZGE5MjcxMGIyYzQ4NDljZDFiMTJlYWU3MWIzNTEifQ=="/>
  </w:docVars>
  <w:rsids>
    <w:rsidRoot w:val="005F461A"/>
    <w:rsid w:val="000031DA"/>
    <w:rsid w:val="00004620"/>
    <w:rsid w:val="00007137"/>
    <w:rsid w:val="00014BF9"/>
    <w:rsid w:val="00017B35"/>
    <w:rsid w:val="00017D5C"/>
    <w:rsid w:val="000203E5"/>
    <w:rsid w:val="00022E8D"/>
    <w:rsid w:val="00030946"/>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B34DB"/>
    <w:rsid w:val="000C170E"/>
    <w:rsid w:val="000C4794"/>
    <w:rsid w:val="000D09FB"/>
    <w:rsid w:val="000D61CC"/>
    <w:rsid w:val="000D6BF8"/>
    <w:rsid w:val="000E361C"/>
    <w:rsid w:val="000E3D2A"/>
    <w:rsid w:val="000E56F2"/>
    <w:rsid w:val="000E580D"/>
    <w:rsid w:val="000F21AB"/>
    <w:rsid w:val="000F3A7C"/>
    <w:rsid w:val="000F3EC5"/>
    <w:rsid w:val="00111B88"/>
    <w:rsid w:val="00115449"/>
    <w:rsid w:val="00117B29"/>
    <w:rsid w:val="0012201E"/>
    <w:rsid w:val="00122D5C"/>
    <w:rsid w:val="00125F01"/>
    <w:rsid w:val="001327F4"/>
    <w:rsid w:val="0014569C"/>
    <w:rsid w:val="0015171A"/>
    <w:rsid w:val="001542B6"/>
    <w:rsid w:val="0015752A"/>
    <w:rsid w:val="001640A2"/>
    <w:rsid w:val="00174E07"/>
    <w:rsid w:val="001904D5"/>
    <w:rsid w:val="001A2D2A"/>
    <w:rsid w:val="001A3851"/>
    <w:rsid w:val="001B23B6"/>
    <w:rsid w:val="001E3647"/>
    <w:rsid w:val="001E4391"/>
    <w:rsid w:val="001F407D"/>
    <w:rsid w:val="00201422"/>
    <w:rsid w:val="00205C25"/>
    <w:rsid w:val="002067C4"/>
    <w:rsid w:val="00207326"/>
    <w:rsid w:val="00210FA0"/>
    <w:rsid w:val="00211E8E"/>
    <w:rsid w:val="00231621"/>
    <w:rsid w:val="00235B1C"/>
    <w:rsid w:val="00246192"/>
    <w:rsid w:val="00247C71"/>
    <w:rsid w:val="00255366"/>
    <w:rsid w:val="0025599F"/>
    <w:rsid w:val="00260DE6"/>
    <w:rsid w:val="00266C95"/>
    <w:rsid w:val="002725D9"/>
    <w:rsid w:val="00273475"/>
    <w:rsid w:val="0027386F"/>
    <w:rsid w:val="00273EE4"/>
    <w:rsid w:val="00275F80"/>
    <w:rsid w:val="002778BF"/>
    <w:rsid w:val="0029067E"/>
    <w:rsid w:val="00295740"/>
    <w:rsid w:val="0029585A"/>
    <w:rsid w:val="00297E7D"/>
    <w:rsid w:val="002A14C3"/>
    <w:rsid w:val="002A6FCF"/>
    <w:rsid w:val="002A7AF1"/>
    <w:rsid w:val="002B2319"/>
    <w:rsid w:val="002C6105"/>
    <w:rsid w:val="002C621D"/>
    <w:rsid w:val="002D0395"/>
    <w:rsid w:val="002D435F"/>
    <w:rsid w:val="002D77C0"/>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3B82"/>
    <w:rsid w:val="00354D13"/>
    <w:rsid w:val="00360BFC"/>
    <w:rsid w:val="0036276B"/>
    <w:rsid w:val="00362A95"/>
    <w:rsid w:val="003751C7"/>
    <w:rsid w:val="003772BD"/>
    <w:rsid w:val="00377D60"/>
    <w:rsid w:val="0038096E"/>
    <w:rsid w:val="003857BA"/>
    <w:rsid w:val="00390ACE"/>
    <w:rsid w:val="0039197B"/>
    <w:rsid w:val="0039725D"/>
    <w:rsid w:val="003A0A25"/>
    <w:rsid w:val="003A1278"/>
    <w:rsid w:val="003A2939"/>
    <w:rsid w:val="003A4BB6"/>
    <w:rsid w:val="003B241F"/>
    <w:rsid w:val="003B4C14"/>
    <w:rsid w:val="003B6702"/>
    <w:rsid w:val="003C28EF"/>
    <w:rsid w:val="003D1DE2"/>
    <w:rsid w:val="003D5C79"/>
    <w:rsid w:val="003E3619"/>
    <w:rsid w:val="003E4FB8"/>
    <w:rsid w:val="003F586F"/>
    <w:rsid w:val="004020D1"/>
    <w:rsid w:val="00402EB4"/>
    <w:rsid w:val="004031FB"/>
    <w:rsid w:val="00410088"/>
    <w:rsid w:val="004107E3"/>
    <w:rsid w:val="00420A2F"/>
    <w:rsid w:val="0042406B"/>
    <w:rsid w:val="0042735D"/>
    <w:rsid w:val="00427508"/>
    <w:rsid w:val="00432638"/>
    <w:rsid w:val="00434235"/>
    <w:rsid w:val="004379A3"/>
    <w:rsid w:val="00455193"/>
    <w:rsid w:val="00456DF1"/>
    <w:rsid w:val="00474A69"/>
    <w:rsid w:val="00482E9D"/>
    <w:rsid w:val="00483347"/>
    <w:rsid w:val="00491C05"/>
    <w:rsid w:val="00494A61"/>
    <w:rsid w:val="004A11EB"/>
    <w:rsid w:val="004A2E90"/>
    <w:rsid w:val="004A7EFF"/>
    <w:rsid w:val="004B0A22"/>
    <w:rsid w:val="004B4A03"/>
    <w:rsid w:val="004C06A4"/>
    <w:rsid w:val="004C2208"/>
    <w:rsid w:val="004C784D"/>
    <w:rsid w:val="004D2F17"/>
    <w:rsid w:val="004D3B48"/>
    <w:rsid w:val="004D70CE"/>
    <w:rsid w:val="004D75D8"/>
    <w:rsid w:val="004E40F5"/>
    <w:rsid w:val="0052184A"/>
    <w:rsid w:val="00526DE0"/>
    <w:rsid w:val="00527A03"/>
    <w:rsid w:val="005334AC"/>
    <w:rsid w:val="00541830"/>
    <w:rsid w:val="0054408F"/>
    <w:rsid w:val="0055063A"/>
    <w:rsid w:val="00551EEC"/>
    <w:rsid w:val="00565871"/>
    <w:rsid w:val="00573425"/>
    <w:rsid w:val="00590309"/>
    <w:rsid w:val="005925DB"/>
    <w:rsid w:val="00595928"/>
    <w:rsid w:val="00595B57"/>
    <w:rsid w:val="005A5D2B"/>
    <w:rsid w:val="005A6335"/>
    <w:rsid w:val="005A7508"/>
    <w:rsid w:val="005B1CFE"/>
    <w:rsid w:val="005B34EF"/>
    <w:rsid w:val="005B51F2"/>
    <w:rsid w:val="005C096D"/>
    <w:rsid w:val="005C2341"/>
    <w:rsid w:val="005C35AD"/>
    <w:rsid w:val="005C518B"/>
    <w:rsid w:val="005C59E5"/>
    <w:rsid w:val="005D4F8D"/>
    <w:rsid w:val="005D56BF"/>
    <w:rsid w:val="005D6377"/>
    <w:rsid w:val="005D7085"/>
    <w:rsid w:val="005E0A76"/>
    <w:rsid w:val="005E71B5"/>
    <w:rsid w:val="005F461A"/>
    <w:rsid w:val="005F5230"/>
    <w:rsid w:val="005F6274"/>
    <w:rsid w:val="00603352"/>
    <w:rsid w:val="0060411C"/>
    <w:rsid w:val="0060551C"/>
    <w:rsid w:val="00614698"/>
    <w:rsid w:val="00633EF5"/>
    <w:rsid w:val="00634D3A"/>
    <w:rsid w:val="006408AE"/>
    <w:rsid w:val="00642767"/>
    <w:rsid w:val="006463D5"/>
    <w:rsid w:val="00650E5F"/>
    <w:rsid w:val="00655CAD"/>
    <w:rsid w:val="006618DB"/>
    <w:rsid w:val="00676059"/>
    <w:rsid w:val="0068312B"/>
    <w:rsid w:val="00686FCC"/>
    <w:rsid w:val="00695411"/>
    <w:rsid w:val="0069670D"/>
    <w:rsid w:val="006A2C26"/>
    <w:rsid w:val="006A39D1"/>
    <w:rsid w:val="006B74CE"/>
    <w:rsid w:val="006C0265"/>
    <w:rsid w:val="006C4D0A"/>
    <w:rsid w:val="006E1FDE"/>
    <w:rsid w:val="006E24EC"/>
    <w:rsid w:val="006E3C8D"/>
    <w:rsid w:val="00700653"/>
    <w:rsid w:val="00704FC7"/>
    <w:rsid w:val="007244E6"/>
    <w:rsid w:val="007269D1"/>
    <w:rsid w:val="00726D45"/>
    <w:rsid w:val="00727E47"/>
    <w:rsid w:val="00734F5B"/>
    <w:rsid w:val="00735CE2"/>
    <w:rsid w:val="0073688C"/>
    <w:rsid w:val="00746023"/>
    <w:rsid w:val="00751A53"/>
    <w:rsid w:val="00751B19"/>
    <w:rsid w:val="007527B7"/>
    <w:rsid w:val="00755A1D"/>
    <w:rsid w:val="00770F72"/>
    <w:rsid w:val="00774F6A"/>
    <w:rsid w:val="007806EB"/>
    <w:rsid w:val="00781704"/>
    <w:rsid w:val="00781A0B"/>
    <w:rsid w:val="0078341A"/>
    <w:rsid w:val="00793E2D"/>
    <w:rsid w:val="00797558"/>
    <w:rsid w:val="0079788D"/>
    <w:rsid w:val="007A6C81"/>
    <w:rsid w:val="007A7100"/>
    <w:rsid w:val="007B1502"/>
    <w:rsid w:val="007B37AC"/>
    <w:rsid w:val="007C2DBE"/>
    <w:rsid w:val="007C6FA1"/>
    <w:rsid w:val="007D787F"/>
    <w:rsid w:val="007F3875"/>
    <w:rsid w:val="007F79B0"/>
    <w:rsid w:val="00812A28"/>
    <w:rsid w:val="00814CF6"/>
    <w:rsid w:val="008167C0"/>
    <w:rsid w:val="0082210C"/>
    <w:rsid w:val="008248A8"/>
    <w:rsid w:val="00831138"/>
    <w:rsid w:val="0083480C"/>
    <w:rsid w:val="008405A4"/>
    <w:rsid w:val="00841A64"/>
    <w:rsid w:val="00844399"/>
    <w:rsid w:val="00845712"/>
    <w:rsid w:val="00857C11"/>
    <w:rsid w:val="00865691"/>
    <w:rsid w:val="00870E48"/>
    <w:rsid w:val="00871764"/>
    <w:rsid w:val="0087550C"/>
    <w:rsid w:val="00876940"/>
    <w:rsid w:val="0087785A"/>
    <w:rsid w:val="0088152E"/>
    <w:rsid w:val="0088187F"/>
    <w:rsid w:val="00881A1F"/>
    <w:rsid w:val="0088474A"/>
    <w:rsid w:val="00891748"/>
    <w:rsid w:val="008917F8"/>
    <w:rsid w:val="00892008"/>
    <w:rsid w:val="00892C37"/>
    <w:rsid w:val="008B01CF"/>
    <w:rsid w:val="008B1C33"/>
    <w:rsid w:val="008C190E"/>
    <w:rsid w:val="008C1B84"/>
    <w:rsid w:val="008C6331"/>
    <w:rsid w:val="008C6345"/>
    <w:rsid w:val="008D1258"/>
    <w:rsid w:val="008D63D0"/>
    <w:rsid w:val="008E1465"/>
    <w:rsid w:val="008E1A3B"/>
    <w:rsid w:val="008E42DE"/>
    <w:rsid w:val="008E5F7E"/>
    <w:rsid w:val="008E6BD8"/>
    <w:rsid w:val="008F0D1B"/>
    <w:rsid w:val="008F6270"/>
    <w:rsid w:val="009012F3"/>
    <w:rsid w:val="00901500"/>
    <w:rsid w:val="009057A9"/>
    <w:rsid w:val="00907B7B"/>
    <w:rsid w:val="009101D1"/>
    <w:rsid w:val="00924E52"/>
    <w:rsid w:val="00934E1F"/>
    <w:rsid w:val="0093613A"/>
    <w:rsid w:val="009372EE"/>
    <w:rsid w:val="00964205"/>
    <w:rsid w:val="00975BA8"/>
    <w:rsid w:val="00977828"/>
    <w:rsid w:val="00977DEA"/>
    <w:rsid w:val="00982A80"/>
    <w:rsid w:val="00983564"/>
    <w:rsid w:val="00984D55"/>
    <w:rsid w:val="00991BF9"/>
    <w:rsid w:val="0099384C"/>
    <w:rsid w:val="00995C88"/>
    <w:rsid w:val="009B5CD9"/>
    <w:rsid w:val="009C15A5"/>
    <w:rsid w:val="009C2AD6"/>
    <w:rsid w:val="009C58AB"/>
    <w:rsid w:val="009C5F64"/>
    <w:rsid w:val="009D11B7"/>
    <w:rsid w:val="009D36AD"/>
    <w:rsid w:val="009D7E07"/>
    <w:rsid w:val="009E32BB"/>
    <w:rsid w:val="009F0F17"/>
    <w:rsid w:val="00A000BD"/>
    <w:rsid w:val="00A07CC6"/>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122F"/>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2660D"/>
    <w:rsid w:val="00B27D22"/>
    <w:rsid w:val="00B30868"/>
    <w:rsid w:val="00B345A6"/>
    <w:rsid w:val="00B40ECD"/>
    <w:rsid w:val="00B659C7"/>
    <w:rsid w:val="00B668BC"/>
    <w:rsid w:val="00B674EE"/>
    <w:rsid w:val="00B74757"/>
    <w:rsid w:val="00B771BB"/>
    <w:rsid w:val="00B817DC"/>
    <w:rsid w:val="00B81886"/>
    <w:rsid w:val="00B87024"/>
    <w:rsid w:val="00B93759"/>
    <w:rsid w:val="00B95518"/>
    <w:rsid w:val="00BC15D4"/>
    <w:rsid w:val="00BC7D6A"/>
    <w:rsid w:val="00BD671C"/>
    <w:rsid w:val="00BE5C45"/>
    <w:rsid w:val="00BF25E6"/>
    <w:rsid w:val="00C03C2C"/>
    <w:rsid w:val="00C0559E"/>
    <w:rsid w:val="00C06DDF"/>
    <w:rsid w:val="00C1503D"/>
    <w:rsid w:val="00C15723"/>
    <w:rsid w:val="00C21CE7"/>
    <w:rsid w:val="00C30274"/>
    <w:rsid w:val="00C312B9"/>
    <w:rsid w:val="00C3148F"/>
    <w:rsid w:val="00C336AB"/>
    <w:rsid w:val="00C36FD8"/>
    <w:rsid w:val="00C40938"/>
    <w:rsid w:val="00C415E8"/>
    <w:rsid w:val="00C42322"/>
    <w:rsid w:val="00C55A28"/>
    <w:rsid w:val="00C6394C"/>
    <w:rsid w:val="00C746B8"/>
    <w:rsid w:val="00C77C07"/>
    <w:rsid w:val="00C816A1"/>
    <w:rsid w:val="00C8171D"/>
    <w:rsid w:val="00C826B8"/>
    <w:rsid w:val="00C8571F"/>
    <w:rsid w:val="00C8690A"/>
    <w:rsid w:val="00C97087"/>
    <w:rsid w:val="00CA6A39"/>
    <w:rsid w:val="00CB4014"/>
    <w:rsid w:val="00CC6BA3"/>
    <w:rsid w:val="00CD49CE"/>
    <w:rsid w:val="00CE593F"/>
    <w:rsid w:val="00CF34A1"/>
    <w:rsid w:val="00D0508B"/>
    <w:rsid w:val="00D1135A"/>
    <w:rsid w:val="00D13960"/>
    <w:rsid w:val="00D1635F"/>
    <w:rsid w:val="00D16F2B"/>
    <w:rsid w:val="00D257AA"/>
    <w:rsid w:val="00D33228"/>
    <w:rsid w:val="00D4218C"/>
    <w:rsid w:val="00D4285A"/>
    <w:rsid w:val="00D46942"/>
    <w:rsid w:val="00D52BAC"/>
    <w:rsid w:val="00D539A6"/>
    <w:rsid w:val="00D609EB"/>
    <w:rsid w:val="00D62D60"/>
    <w:rsid w:val="00D713EE"/>
    <w:rsid w:val="00D75070"/>
    <w:rsid w:val="00D77549"/>
    <w:rsid w:val="00D8198B"/>
    <w:rsid w:val="00D870A7"/>
    <w:rsid w:val="00D9168A"/>
    <w:rsid w:val="00D92F7B"/>
    <w:rsid w:val="00DA0ABB"/>
    <w:rsid w:val="00DB0A2F"/>
    <w:rsid w:val="00DB0A7F"/>
    <w:rsid w:val="00DC309B"/>
    <w:rsid w:val="00DC5D17"/>
    <w:rsid w:val="00DD4C3F"/>
    <w:rsid w:val="00DD6DC6"/>
    <w:rsid w:val="00DF1A64"/>
    <w:rsid w:val="00DF4748"/>
    <w:rsid w:val="00DF6737"/>
    <w:rsid w:val="00DF7A82"/>
    <w:rsid w:val="00E05E8B"/>
    <w:rsid w:val="00E13C8F"/>
    <w:rsid w:val="00E30A0C"/>
    <w:rsid w:val="00E40D02"/>
    <w:rsid w:val="00E501AC"/>
    <w:rsid w:val="00E60678"/>
    <w:rsid w:val="00E60DFA"/>
    <w:rsid w:val="00E6310E"/>
    <w:rsid w:val="00E63F73"/>
    <w:rsid w:val="00E64EAD"/>
    <w:rsid w:val="00E66173"/>
    <w:rsid w:val="00E66647"/>
    <w:rsid w:val="00E71143"/>
    <w:rsid w:val="00E8544C"/>
    <w:rsid w:val="00EA22D0"/>
    <w:rsid w:val="00EA5415"/>
    <w:rsid w:val="00EB6918"/>
    <w:rsid w:val="00EC3D38"/>
    <w:rsid w:val="00ED4036"/>
    <w:rsid w:val="00ED7199"/>
    <w:rsid w:val="00ED74A9"/>
    <w:rsid w:val="00ED77E8"/>
    <w:rsid w:val="00EE2BE6"/>
    <w:rsid w:val="00EE371A"/>
    <w:rsid w:val="00EE5A29"/>
    <w:rsid w:val="00EF57A1"/>
    <w:rsid w:val="00F21A6F"/>
    <w:rsid w:val="00F25599"/>
    <w:rsid w:val="00F375ED"/>
    <w:rsid w:val="00F504D4"/>
    <w:rsid w:val="00F5542F"/>
    <w:rsid w:val="00F65182"/>
    <w:rsid w:val="00F70B87"/>
    <w:rsid w:val="00F75E5A"/>
    <w:rsid w:val="00F75EA3"/>
    <w:rsid w:val="00F80547"/>
    <w:rsid w:val="00F8094D"/>
    <w:rsid w:val="00F8528D"/>
    <w:rsid w:val="00F86ADE"/>
    <w:rsid w:val="00F95471"/>
    <w:rsid w:val="00FA2F6B"/>
    <w:rsid w:val="00FB178C"/>
    <w:rsid w:val="00FB1FF4"/>
    <w:rsid w:val="00FB297B"/>
    <w:rsid w:val="00FB36B1"/>
    <w:rsid w:val="00FB5E64"/>
    <w:rsid w:val="00FC0239"/>
    <w:rsid w:val="00FC3A96"/>
    <w:rsid w:val="00FC70C7"/>
    <w:rsid w:val="00FE0175"/>
    <w:rsid w:val="00FE053D"/>
    <w:rsid w:val="00FF39D0"/>
    <w:rsid w:val="00FF638D"/>
    <w:rsid w:val="01511786"/>
    <w:rsid w:val="02142A88"/>
    <w:rsid w:val="06222AEF"/>
    <w:rsid w:val="0A00371B"/>
    <w:rsid w:val="0DE73136"/>
    <w:rsid w:val="10BD0789"/>
    <w:rsid w:val="15C70A44"/>
    <w:rsid w:val="1E331386"/>
    <w:rsid w:val="21804E24"/>
    <w:rsid w:val="21F65087"/>
    <w:rsid w:val="229E7785"/>
    <w:rsid w:val="27284CF2"/>
    <w:rsid w:val="2AFD0A94"/>
    <w:rsid w:val="2CA749AF"/>
    <w:rsid w:val="2CAD2F5E"/>
    <w:rsid w:val="2D327424"/>
    <w:rsid w:val="31467B70"/>
    <w:rsid w:val="314D2B8E"/>
    <w:rsid w:val="34134BFF"/>
    <w:rsid w:val="34B92AD6"/>
    <w:rsid w:val="37AD07F6"/>
    <w:rsid w:val="37C71714"/>
    <w:rsid w:val="39365EFC"/>
    <w:rsid w:val="39FF24A2"/>
    <w:rsid w:val="3A217CEB"/>
    <w:rsid w:val="3E1A595D"/>
    <w:rsid w:val="45A35703"/>
    <w:rsid w:val="47D328B6"/>
    <w:rsid w:val="4A3D5E5D"/>
    <w:rsid w:val="4C441932"/>
    <w:rsid w:val="4EB517FC"/>
    <w:rsid w:val="4F6D18A6"/>
    <w:rsid w:val="52006128"/>
    <w:rsid w:val="53E20594"/>
    <w:rsid w:val="54C36E8F"/>
    <w:rsid w:val="55FA339A"/>
    <w:rsid w:val="56C265CD"/>
    <w:rsid w:val="57AF7686"/>
    <w:rsid w:val="58277338"/>
    <w:rsid w:val="58554D75"/>
    <w:rsid w:val="5EDC2B06"/>
    <w:rsid w:val="5F332806"/>
    <w:rsid w:val="64251F01"/>
    <w:rsid w:val="673C4F93"/>
    <w:rsid w:val="6ABE207B"/>
    <w:rsid w:val="6BF84920"/>
    <w:rsid w:val="6C7B2000"/>
    <w:rsid w:val="6C7D68DC"/>
    <w:rsid w:val="6E17110C"/>
    <w:rsid w:val="7178278C"/>
    <w:rsid w:val="74520B87"/>
    <w:rsid w:val="75B1173D"/>
    <w:rsid w:val="7B5255A5"/>
    <w:rsid w:val="7D0E6639"/>
    <w:rsid w:val="7DA12035"/>
    <w:rsid w:val="7DA317EC"/>
    <w:rsid w:val="7FA21A7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6"/>
    <w:autoRedefine/>
    <w:unhideWhenUsed/>
    <w:qFormat/>
    <w:uiPriority w:val="0"/>
    <w:rPr>
      <w:rFonts w:ascii="宋体" w:hAnsi="Courier New" w:cs="Courier New"/>
      <w:szCs w:val="21"/>
    </w:rPr>
  </w:style>
  <w:style w:type="paragraph" w:styleId="4">
    <w:name w:val="Balloon Text"/>
    <w:basedOn w:val="1"/>
    <w:link w:val="15"/>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page number"/>
    <w:autoRedefine/>
    <w:unhideWhenUsed/>
    <w:qFormat/>
    <w:uiPriority w:val="99"/>
  </w:style>
  <w:style w:type="paragraph" w:customStyle="1" w:styleId="11">
    <w:name w:val="p0"/>
    <w:basedOn w:val="1"/>
    <w:autoRedefine/>
    <w:qFormat/>
    <w:uiPriority w:val="99"/>
    <w:pPr>
      <w:widowControl/>
    </w:pPr>
    <w:rPr>
      <w:rFonts w:ascii="Times New Roman" w:hAnsi="Times New Roman"/>
      <w:kern w:val="0"/>
      <w:szCs w:val="21"/>
    </w:rPr>
  </w:style>
  <w:style w:type="character" w:customStyle="1" w:styleId="12">
    <w:name w:val="页眉 字符"/>
    <w:basedOn w:val="9"/>
    <w:link w:val="6"/>
    <w:autoRedefine/>
    <w:qFormat/>
    <w:uiPriority w:val="99"/>
    <w:rPr>
      <w:rFonts w:ascii="Calibri" w:hAnsi="Calibri" w:eastAsia="宋体" w:cs="Times New Roman"/>
      <w:sz w:val="18"/>
      <w:szCs w:val="18"/>
    </w:rPr>
  </w:style>
  <w:style w:type="character" w:customStyle="1" w:styleId="13">
    <w:name w:val="页脚 字符"/>
    <w:basedOn w:val="9"/>
    <w:link w:val="5"/>
    <w:qFormat/>
    <w:uiPriority w:val="99"/>
    <w:rPr>
      <w:rFonts w:ascii="Calibri" w:hAnsi="Calibri" w:eastAsia="宋体" w:cs="Times New Roman"/>
      <w:sz w:val="18"/>
      <w:szCs w:val="18"/>
    </w:rPr>
  </w:style>
  <w:style w:type="paragraph" w:customStyle="1" w:styleId="14">
    <w:name w:val="列出段落1"/>
    <w:basedOn w:val="1"/>
    <w:qFormat/>
    <w:uiPriority w:val="99"/>
    <w:pPr>
      <w:ind w:firstLine="420" w:firstLineChars="200"/>
    </w:p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纯文本 字符"/>
    <w:basedOn w:val="9"/>
    <w:link w:val="3"/>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4350C-538F-472E-8127-A7935FC985D0}">
  <ds:schemaRefs/>
</ds:datastoreItem>
</file>

<file path=docProps/app.xml><?xml version="1.0" encoding="utf-8"?>
<Properties xmlns="http://schemas.openxmlformats.org/officeDocument/2006/extended-properties" xmlns:vt="http://schemas.openxmlformats.org/officeDocument/2006/docPropsVTypes">
  <Template>Normal</Template>
  <Pages>8</Pages>
  <Words>3251</Words>
  <Characters>3286</Characters>
  <Lines>23</Lines>
  <Paragraphs>6</Paragraphs>
  <TotalTime>8</TotalTime>
  <ScaleCrop>false</ScaleCrop>
  <LinksUpToDate>false</LinksUpToDate>
  <CharactersWithSpaces>3364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2023-05-09T02:24:00Z</dcterms:created>
  <dc:creator>55455</dc:creator>
  <cp:lastModifiedBy>skxxhfwzx</cp:lastModifiedBy>
  <cp:lastPrinted>2025-02-27T01:06:00Z</cp:lastPrinted>
  <dcterms:modified xsi:type="dcterms:W3CDTF">2025-04-14T07:42:33Z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commondata">
    <vt:lpwstr>eyJoZGlkIjoiYzQzZmQ3MDM2YzhhZGNlNmVkMDRlNTJkYWRhYmJhOTYifQ==</vt:lpwstr>
  </property>
  <property fmtid="{D5CDD505-2E9C-101B-9397-08002B2CF9AE}" pid="4" name="ICV">
    <vt:lpwstr>60CCC7CCFE4244BCB08FF5C07C16BCB8_13</vt:lpwstr>
  </property>
  <property fmtid="{D5CDD505-2E9C-101B-9397-08002B2CF9AE}" pid="5" name="KSOTemplateDocerSaveRecord">
    <vt:lpwstr>eyJoZGlkIjoiMTJmYTQ3MGRlODE2Y2U5NDhjNmFjYjYzZTI1NTFlMjYifQ==</vt:lpwstr>
  </property>
</Properties>
</file>